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12. Business Rules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Core Principle</w:t>
      </w:r>
    </w:p>
    <w:p>
      <w:pPr>
        <w:spacing w:after="100" w:line="259" w:lineRule="auto"/>
      </w:pPr>
      <w:r>
        <w:rPr>
          <w:sz w:val="20"/>
        </w:rPr>
        <w:t>METRA is an assistance system. It should never present an uncertain AI output as a confirmed legal decision.</w:t>
      </w:r>
    </w:p>
    <w:p>
      <w:pPr>
        <w:pStyle w:val="Heading1"/>
        <w:spacing w:before="200" w:after="100"/>
      </w:pPr>
      <w:r>
        <w:t>2.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BR-01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Every inspection must have at least one package image.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BR-02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An image that fails quality checks cannot be treated as reliable evidence.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BR-03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Required declarations come from the selected rule pack/category context.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BR-04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AI/OCR output is a candidate value; final validation is performed by deterministic rules.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BR-05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Every warning/violation should have evidence or a clear explanation when evidence is unavailable.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BR-06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Low-confidence or conflicting findings require human review.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BR-07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Physical measurements that cannot be inferred reliably from the image require manual verification.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BR-08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 finalized inspection records the rule-pack version used.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BR-09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Published rule packs cannot be silently edited; create a new version.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BR-10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Human reviewer decision is the final workflow outcome for reviewed findings.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BR-11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Pre-screening results must be labeled as potential issues, not legal approval.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BR-12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If the system cannot determine an applicable rule, it must flag the rule gap rather than guess.</w:t>
            </w:r>
          </w:p>
        </w:tc>
      </w:tr>
    </w:tbl>
    <w:p/>
    <w:p>
      <w:pPr>
        <w:pStyle w:val="Heading1"/>
        <w:spacing w:before="200" w:after="100"/>
      </w:pPr>
      <w:r>
        <w:t>3. Status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Inspection: DRAFT → PROCESSING → REVIEW_REQUIRED → FINALIZED</w:t>
              <w:br/>
              <w:t>Finding: PASS | WARNING | VIOLATION | MANUAL_REVIEW</w:t>
              <w:br/>
              <w:t>Rule Pack: DRAFT → PUBLISHED → RETIRED</w:t>
            </w:r>
          </w:p>
        </w:tc>
      </w:tr>
    </w:tbl>
    <w:p/>
    <w:p>
      <w:pPr>
        <w:pStyle w:val="Heading1"/>
        <w:spacing w:before="200" w:after="100"/>
      </w:pPr>
      <w:r>
        <w:t>4. Compliance Result</w:t>
      </w:r>
    </w:p>
    <w:p>
      <w:pPr>
        <w:spacing w:after="100" w:line="259" w:lineRule="auto"/>
      </w:pPr>
      <w:r>
        <w:rPr>
          <w:sz w:val="20"/>
        </w:rPr>
        <w:t>Overall status should be derived from findings. Example: any confirmed critical violation → NON-COMPLIANT; unresolved uncertainty → REVIEW REQUIRED; no violations and all required checks passed → COMPLIANT.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