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20. Requirements Traceability Matrix (RTM)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PRD Ref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UI Ref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Technical Ref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Test Ref</w:t>
            </w:r>
          </w:p>
        </w:tc>
        <w:tc>
          <w:tcPr>
            <w:tcW w:type="dxa" w:w="14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REQ-01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Package image inspection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FR-01, FR-02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UI-03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API /inspections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TC-003, TC-004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Declaration extraction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FR-03, FR-04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UI-05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Analysis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TC-005, TC-007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REQ-03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Applicable rule selection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FR-05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UI-05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 engine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TC-009, TC-014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Compliance checking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UI-06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engine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TC-006, TC-009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REQ-05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Evidence-backed findings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FR-07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UI-06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Evidence service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TC-006, TC-010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Human verification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UI-07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Review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TC-007, TC-010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REQ-07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Reports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FR-09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UI-08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 service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TC-011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History/audit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UI-02/UI-09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REQ-09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Dashboard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FR-11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UI-02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Dashboard API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TC-016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Versioned rules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FR-12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UI-09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pack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REQ-11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Pre-screening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FR-13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UI-01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Inspection service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TC-015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REQ-12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Security/RBAC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NFR-SEC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All protected screens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TC-012, TC-013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REQ-13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 uncertainty handling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NFR-AI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UI-06/UI-07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Confidence/review service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TC-007, TC-017, TC-018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Planned</w:t>
            </w:r>
          </w:p>
        </w:tc>
      </w:tr>
    </w:tbl>
    <w:p/>
    <w:p>
      <w:pPr>
        <w:pStyle w:val="Heading1"/>
        <w:spacing w:before="200" w:after="100"/>
      </w:pPr>
      <w:r>
        <w:t>Traceability Rule</w:t>
      </w:r>
    </w:p>
    <w:p>
      <w:pPr>
        <w:spacing w:after="100" w:line="259" w:lineRule="auto"/>
      </w:pPr>
      <w:r>
        <w:rPr>
          <w:sz w:val="20"/>
        </w:rPr>
        <w:t>Every Must requirement should map to a user-facing behavior, an implementation component, and at least one test case before the MVP is considered complete.</w:t>
      </w:r>
    </w:p>
    <w:p>
      <w:pPr>
        <w:pStyle w:val="Heading1"/>
        <w:spacing w:before="200" w:after="100"/>
      </w:pPr>
      <w:r>
        <w:t>Final Delivery Checklist</w:t>
      </w:r>
    </w:p>
    <w:p>
      <w:pPr>
        <w:pStyle w:val="ListBullet"/>
        <w:spacing w:after="60"/>
      </w:pPr>
      <w:r>
        <w:rPr>
          <w:sz w:val="20"/>
        </w:rPr>
        <w:t>No Must requirement without an implementation reference.</w:t>
      </w:r>
    </w:p>
    <w:p>
      <w:pPr>
        <w:pStyle w:val="ListBullet"/>
        <w:spacing w:after="60"/>
      </w:pPr>
      <w:r>
        <w:rPr>
          <w:sz w:val="20"/>
        </w:rPr>
        <w:t>No implementation component without tests.</w:t>
      </w:r>
    </w:p>
    <w:p>
      <w:pPr>
        <w:pStyle w:val="ListBullet"/>
        <w:spacing w:after="60"/>
      </w:pPr>
      <w:r>
        <w:rPr>
          <w:sz w:val="20"/>
        </w:rPr>
        <w:t>All critical security requirements linked to tests.</w:t>
      </w:r>
    </w:p>
    <w:p>
      <w:pPr>
        <w:pStyle w:val="ListBullet"/>
        <w:spacing w:after="60"/>
      </w:pPr>
      <w:r>
        <w:rPr>
          <w:sz w:val="20"/>
        </w:rPr>
        <w:t>Regulatory rule sources are documented and versioned.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