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center"/>
      </w:pPr>
      <w:r>
        <w:rPr>
          <w:rFonts w:ascii="Times New Roman" w:hAnsi="Times New Roman"/>
          <w:b/>
          <w:sz w:val="26"/>
        </w:rPr>
        <w:t>CREDIT PURCHASE RIGHT ASSIGNMENT AGREEMENT</w:t>
      </w:r>
    </w:p>
    <w:p>
      <w:pPr>
        <w:spacing w:before="160" w:after="80"/>
        <w:jc w:val="center"/>
      </w:pPr>
      <w:r>
        <w:rPr>
          <w:rFonts w:ascii="Times New Roman" w:hAnsi="Times New Roman"/>
          <w:b/>
          <w:sz w:val="22"/>
        </w:rPr>
        <w:t>WELCOME 1231 LLC</w:t>
      </w:r>
    </w:p>
    <w:p>
      <w:pPr>
        <w:spacing w:after="40"/>
      </w:pPr>
    </w:p>
    <w:p>
      <w:pPr>
        <w:spacing w:after="100"/>
        <w:jc w:val="left"/>
      </w:pPr>
      <w:r>
        <w:rPr>
          <w:rFonts w:ascii="Times New Roman" w:hAnsi="Times New Roman"/>
          <w:b w:val="0"/>
          <w:sz w:val="22"/>
        </w:rPr>
        <w:t>This Credit Purchase Right Assignment Agreement (this “Agreement”) is entered into as of the Closing Date set forth in Exhibit A, by and between:</w:t>
      </w:r>
    </w:p>
    <w:p>
      <w:pPr>
        <w:spacing w:after="100"/>
        <w:ind w:left="720"/>
        <w:jc w:val="left"/>
      </w:pPr>
      <w:r>
        <w:rPr>
          <w:rFonts w:ascii="Times New Roman" w:hAnsi="Times New Roman"/>
          <w:b w:val="0"/>
          <w:sz w:val="22"/>
        </w:rPr>
        <w:t>Assignor:</w:t>
        <w:tab/>
        <w:t>Welcome 1231 LLC, a Utah limited liability company (“Company”); and</w:t>
      </w:r>
    </w:p>
    <w:p>
      <w:pPr>
        <w:spacing w:after="100"/>
        <w:ind w:left="720"/>
        <w:jc w:val="left"/>
      </w:pPr>
      <w:r>
        <w:rPr>
          <w:rFonts w:ascii="Times New Roman" w:hAnsi="Times New Roman"/>
          <w:b w:val="0"/>
          <w:sz w:val="22"/>
        </w:rPr>
        <w:t>Assignee:</w:t>
        <w:tab/>
        <w:t>_______________________________________, as identified in Exhibit A (“Assignee”).</w:t>
      </w:r>
    </w:p>
    <w:p>
      <w:pPr>
        <w:spacing w:after="40"/>
      </w:pPr>
    </w:p>
    <w:p>
      <w:pPr>
        <w:spacing w:after="100"/>
        <w:jc w:val="left"/>
      </w:pPr>
      <w:r>
        <w:rPr>
          <w:rFonts w:ascii="Times New Roman" w:hAnsi="Times New Roman"/>
          <w:b/>
          <w:sz w:val="22"/>
        </w:rPr>
        <w:t>WHAT THIS AGREEMENT IS — AND IS NOT</w:t>
      </w:r>
    </w:p>
    <w:p>
      <w:pPr>
        <w:spacing w:after="100"/>
        <w:jc w:val="left"/>
      </w:pPr>
      <w:r>
        <w:rPr>
          <w:rFonts w:ascii="Times New Roman" w:hAnsi="Times New Roman"/>
          <w:b w:val="0"/>
          <w:sz w:val="22"/>
        </w:rPr>
        <w:t>Welcome 1231 LLC acquired the exclusive right to purchase federal §45Q Carbon Oxide Sequestration Tax Credits from the Tax Credit Seller by paying the Credit Purchase Price in full from Company’s own capital. The Purchase Right is Company’s own property.</w:t>
      </w:r>
    </w:p>
    <w:p>
      <w:pPr>
        <w:spacing w:after="100"/>
        <w:jc w:val="left"/>
      </w:pPr>
      <w:r>
        <w:rPr>
          <w:rFonts w:ascii="Times New Roman" w:hAnsi="Times New Roman"/>
          <w:b w:val="0"/>
          <w:sz w:val="22"/>
        </w:rPr>
        <w:t>This Agreement sells and assigns that Purchase Right to Assignee for the Assignment Fee. Assignee makes one single payment to Company. The Tax Credit Seller then executes the Section 6418 Transfer Election naming Assignee as the transferee directly.</w:t>
      </w:r>
    </w:p>
    <w:p>
      <w:pPr>
        <w:spacing w:after="100"/>
        <w:jc w:val="left"/>
      </w:pPr>
      <w:r>
        <w:rPr>
          <w:rFonts w:ascii="Times New Roman" w:hAnsi="Times New Roman"/>
          <w:b w:val="0"/>
          <w:sz w:val="22"/>
        </w:rPr>
        <w:t>Company is acting as a principal dealer selling its own inventory — not as a broker, agent, finder, or intermediary. No securities are being offered or sold under this Agreement.</w:t>
      </w:r>
    </w:p>
    <w:p>
      <w:pPr>
        <w:spacing w:after="40"/>
      </w:pPr>
    </w:p>
    <w:p>
      <w:pPr>
        <w:spacing w:before="160" w:after="80"/>
        <w:jc w:val="left"/>
      </w:pPr>
      <w:r>
        <w:rPr>
          <w:rFonts w:ascii="Times New Roman" w:hAnsi="Times New Roman"/>
          <w:b/>
          <w:sz w:val="22"/>
        </w:rPr>
        <w:t>RECITALS</w:t>
      </w:r>
    </w:p>
    <w:p>
      <w:pPr>
        <w:spacing w:after="100"/>
        <w:ind w:left="720"/>
        <w:jc w:val="left"/>
      </w:pPr>
      <w:r>
        <w:rPr>
          <w:rFonts w:ascii="Times New Roman" w:hAnsi="Times New Roman"/>
          <w:b w:val="0"/>
          <w:sz w:val="22"/>
        </w:rPr>
        <w:t>(A)</w:t>
        <w:tab/>
        <w:t>Company paid the Credit Purchase Price in full to the Tax Credit Seller prior to the date of this Agreement, thereby acquiring exclusive title to the Purchase Right.</w:t>
      </w:r>
    </w:p>
    <w:p>
      <w:pPr>
        <w:spacing w:after="100"/>
        <w:ind w:left="720"/>
        <w:jc w:val="left"/>
      </w:pPr>
      <w:r>
        <w:rPr>
          <w:rFonts w:ascii="Times New Roman" w:hAnsi="Times New Roman"/>
          <w:b w:val="0"/>
          <w:sz w:val="22"/>
        </w:rPr>
        <w:t>(B)</w:t>
        <w:tab/>
        <w:t>Company desires to assign all of its right, title, and interest in and to the Purchase Right to Assignee for the Assignment Fee set forth in Exhibit A.</w:t>
      </w:r>
    </w:p>
    <w:p>
      <w:pPr>
        <w:spacing w:after="100"/>
        <w:ind w:left="720"/>
        <w:jc w:val="left"/>
      </w:pPr>
      <w:r>
        <w:rPr>
          <w:rFonts w:ascii="Times New Roman" w:hAnsi="Times New Roman"/>
          <w:b w:val="0"/>
          <w:sz w:val="22"/>
        </w:rPr>
        <w:t>(C)</w:t>
        <w:tab/>
        <w:t>Assignee desires to acquire the Purchase Right and, upon payment of the Assignment Fee, to receive the Tax Credits via the Tax Credit Seller’s Section 6418 Transfer Election.</w:t>
      </w:r>
    </w:p>
    <w:p>
      <w:pPr>
        <w:spacing w:after="40"/>
      </w:pPr>
    </w:p>
    <w:p>
      <w:pPr>
        <w:spacing w:before="160" w:after="80"/>
        <w:jc w:val="left"/>
      </w:pPr>
      <w:r>
        <w:rPr>
          <w:rFonts w:ascii="Times New Roman" w:hAnsi="Times New Roman"/>
          <w:b/>
          <w:sz w:val="22"/>
        </w:rPr>
        <w:t>AGREEMENT</w:t>
      </w:r>
    </w:p>
    <w:p>
      <w:pPr>
        <w:spacing w:after="100"/>
        <w:jc w:val="left"/>
      </w:pPr>
      <w:r>
        <w:rPr>
          <w:rFonts w:ascii="Times New Roman" w:hAnsi="Times New Roman"/>
          <w:b w:val="0"/>
          <w:sz w:val="22"/>
        </w:rPr>
        <w:t>NOW, THEREFORE, in consideration of the mutual covenants herein, the parties agree as follows:</w:t>
      </w:r>
    </w:p>
    <w:p>
      <w:pPr>
        <w:spacing w:after="40"/>
      </w:pPr>
    </w:p>
    <w:p>
      <w:pPr>
        <w:spacing w:after="100"/>
        <w:jc w:val="left"/>
      </w:pPr>
      <w:r>
        <w:rPr>
          <w:rFonts w:ascii="Times New Roman" w:hAnsi="Times New Roman"/>
          <w:b/>
          <w:sz w:val="22"/>
        </w:rPr>
        <w:t>Section 1.</w:t>
        <w:tab/>
        <w:t>Definitions.</w:t>
      </w:r>
    </w:p>
    <w:p>
      <w:pPr>
        <w:spacing w:after="80"/>
        <w:ind w:left="720"/>
      </w:pPr>
      <w:r>
        <w:rPr>
          <w:rFonts w:ascii="Times New Roman" w:hAnsi="Times New Roman"/>
          <w:b/>
          <w:sz w:val="22"/>
        </w:rPr>
        <w:tab/>
        <w:t xml:space="preserve">"Agreement"  </w:t>
      </w:r>
      <w:r>
        <w:rPr>
          <w:rFonts w:ascii="Times New Roman" w:hAnsi="Times New Roman"/>
          <w:sz w:val="22"/>
        </w:rPr>
        <w:t>this Credit Purchase Right Assignment Agreement, including all Exhibits.</w:t>
      </w:r>
    </w:p>
    <w:p>
      <w:pPr>
        <w:spacing w:after="80"/>
        <w:ind w:left="720"/>
      </w:pPr>
      <w:r>
        <w:rPr>
          <w:rFonts w:ascii="Times New Roman" w:hAnsi="Times New Roman"/>
          <w:b/>
          <w:sz w:val="22"/>
        </w:rPr>
        <w:tab/>
        <w:t xml:space="preserve">"Assignment Fee"  </w:t>
      </w:r>
      <w:r>
        <w:rPr>
          <w:rFonts w:ascii="Times New Roman" w:hAnsi="Times New Roman"/>
          <w:sz w:val="22"/>
        </w:rPr>
        <w:t>the flat fixed fee paid by Assignee to Company as full consideration for the assignment of the Purchase Right, as specified in Exhibit A.</w:t>
      </w:r>
    </w:p>
    <w:p>
      <w:pPr>
        <w:spacing w:after="80"/>
        <w:ind w:left="720"/>
      </w:pPr>
      <w:r>
        <w:rPr>
          <w:rFonts w:ascii="Times New Roman" w:hAnsi="Times New Roman"/>
          <w:b/>
          <w:sz w:val="22"/>
        </w:rPr>
        <w:tab/>
        <w:t xml:space="preserve">"Business Day"  </w:t>
      </w:r>
      <w:r>
        <w:rPr>
          <w:rFonts w:ascii="Times New Roman" w:hAnsi="Times New Roman"/>
          <w:sz w:val="22"/>
        </w:rPr>
        <w:t>any day other than a Saturday, Sunday, or U.S. federal holiday.</w:t>
      </w:r>
    </w:p>
    <w:p>
      <w:pPr>
        <w:spacing w:after="80"/>
        <w:ind w:left="720"/>
      </w:pPr>
      <w:r>
        <w:rPr>
          <w:rFonts w:ascii="Times New Roman" w:hAnsi="Times New Roman"/>
          <w:b/>
          <w:sz w:val="22"/>
        </w:rPr>
        <w:tab/>
        <w:t xml:space="preserve">"Closing Date"  </w:t>
      </w:r>
      <w:r>
        <w:rPr>
          <w:rFonts w:ascii="Times New Roman" w:hAnsi="Times New Roman"/>
          <w:sz w:val="22"/>
        </w:rPr>
        <w:t>the date specified in Exhibit A on which the Assignment Fee is received and the Purchase Right is transferred.</w:t>
      </w:r>
    </w:p>
    <w:p>
      <w:pPr>
        <w:spacing w:after="80"/>
        <w:ind w:left="720"/>
      </w:pPr>
      <w:r>
        <w:rPr>
          <w:rFonts w:ascii="Times New Roman" w:hAnsi="Times New Roman"/>
          <w:b/>
          <w:sz w:val="22"/>
        </w:rPr>
        <w:tab/>
        <w:t xml:space="preserve">"Code"  </w:t>
      </w:r>
      <w:r>
        <w:rPr>
          <w:rFonts w:ascii="Times New Roman" w:hAnsi="Times New Roman"/>
          <w:sz w:val="22"/>
        </w:rPr>
        <w:t>the Internal Revenue Code of 1986, as amended.</w:t>
      </w:r>
    </w:p>
    <w:p>
      <w:pPr>
        <w:spacing w:after="80"/>
        <w:ind w:left="720"/>
      </w:pPr>
      <w:r>
        <w:rPr>
          <w:rFonts w:ascii="Times New Roman" w:hAnsi="Times New Roman"/>
          <w:b/>
          <w:sz w:val="22"/>
        </w:rPr>
        <w:tab/>
        <w:t xml:space="preserve">"Credit Purchase Price"  </w:t>
      </w:r>
      <w:r>
        <w:rPr>
          <w:rFonts w:ascii="Times New Roman" w:hAnsi="Times New Roman"/>
          <w:sz w:val="22"/>
        </w:rPr>
        <w:t>the amount Company paid to the Tax Credit Seller prior to Closing to acquire the Purchase Right. Assignee has no obligation to pay the Tax Credit Seller directly.</w:t>
      </w:r>
    </w:p>
    <w:p>
      <w:pPr>
        <w:spacing w:after="80"/>
        <w:ind w:left="720"/>
      </w:pPr>
      <w:r>
        <w:rPr>
          <w:rFonts w:ascii="Times New Roman" w:hAnsi="Times New Roman"/>
          <w:b/>
          <w:sz w:val="22"/>
        </w:rPr>
        <w:tab/>
        <w:t xml:space="preserve">"MPA"  </w:t>
      </w:r>
      <w:r>
        <w:rPr>
          <w:rFonts w:ascii="Times New Roman" w:hAnsi="Times New Roman"/>
          <w:sz w:val="22"/>
        </w:rPr>
        <w:t>the Master Purchase Agreement between Company and the Tax Credit Seller pursuant to which Company acquired the Purchase Right.</w:t>
      </w:r>
    </w:p>
    <w:p>
      <w:pPr>
        <w:spacing w:after="80"/>
        <w:ind w:left="720"/>
      </w:pPr>
      <w:r>
        <w:rPr>
          <w:rFonts w:ascii="Times New Roman" w:hAnsi="Times New Roman"/>
          <w:b/>
          <w:sz w:val="22"/>
        </w:rPr>
        <w:tab/>
        <w:t xml:space="preserve">"Purchase Right"  </w:t>
      </w:r>
      <w:r>
        <w:rPr>
          <w:rFonts w:ascii="Times New Roman" w:hAnsi="Times New Roman"/>
          <w:sz w:val="22"/>
        </w:rPr>
        <w:t>Company’s exclusive title to the Tax Credits, purchased in full from the Tax Credit Seller prior to Closing.</w:t>
      </w:r>
    </w:p>
    <w:p>
      <w:pPr>
        <w:spacing w:after="80"/>
        <w:ind w:left="720"/>
      </w:pPr>
      <w:r>
        <w:rPr>
          <w:rFonts w:ascii="Times New Roman" w:hAnsi="Times New Roman"/>
          <w:b/>
          <w:sz w:val="22"/>
        </w:rPr>
        <w:tab/>
        <w:t xml:space="preserve">"Tax Credits"  </w:t>
      </w:r>
      <w:r>
        <w:rPr>
          <w:rFonts w:ascii="Times New Roman" w:hAnsi="Times New Roman"/>
          <w:sz w:val="22"/>
        </w:rPr>
        <w:t>the Section 45Q Carbon Oxide Sequestration Tax Credits, 2025 vintage, acquired by Company from the Tax Credit Seller and eligible for transfer under Section 6418 of the Code.</w:t>
      </w:r>
    </w:p>
    <w:p>
      <w:pPr>
        <w:spacing w:after="80"/>
        <w:ind w:left="720"/>
      </w:pPr>
      <w:r>
        <w:rPr>
          <w:rFonts w:ascii="Times New Roman" w:hAnsi="Times New Roman"/>
          <w:b/>
          <w:sz w:val="22"/>
        </w:rPr>
        <w:tab/>
        <w:t xml:space="preserve">"Tax Credit Seller"  </w:t>
      </w:r>
      <w:r>
        <w:rPr>
          <w:rFonts w:ascii="Times New Roman" w:hAnsi="Times New Roman"/>
          <w:sz w:val="22"/>
        </w:rPr>
        <w:t>Dynamic Carbon Credits, LLC, a Michigan limited liability company (Beau Parmenter, CEO).</w:t>
      </w:r>
    </w:p>
    <w:p>
      <w:pPr>
        <w:spacing w:after="80"/>
        <w:ind w:left="720"/>
      </w:pPr>
      <w:r>
        <w:rPr>
          <w:rFonts w:ascii="Times New Roman" w:hAnsi="Times New Roman"/>
          <w:b/>
          <w:sz w:val="22"/>
        </w:rPr>
        <w:tab/>
        <w:t xml:space="preserve">"Transfer Election"  </w:t>
      </w:r>
      <w:r>
        <w:rPr>
          <w:rFonts w:ascii="Times New Roman" w:hAnsi="Times New Roman"/>
          <w:sz w:val="22"/>
        </w:rPr>
        <w:t>the IRS Section 6418 Transfer Election Statement executed between the Tax Credit Seller and Assignee.</w:t>
      </w:r>
    </w:p>
    <w:p>
      <w:pPr>
        <w:spacing w:after="40"/>
      </w:pPr>
    </w:p>
    <w:p>
      <w:pPr>
        <w:spacing w:after="100"/>
        <w:jc w:val="left"/>
      </w:pPr>
      <w:r>
        <w:rPr>
          <w:rFonts w:ascii="Times New Roman" w:hAnsi="Times New Roman"/>
          <w:b/>
          <w:sz w:val="22"/>
        </w:rPr>
        <w:t>Section 2.</w:t>
        <w:tab/>
        <w:t>Assignment of Purchase Right.</w:t>
      </w:r>
    </w:p>
    <w:p>
      <w:pPr>
        <w:spacing w:after="100"/>
        <w:ind w:left="720"/>
        <w:jc w:val="left"/>
      </w:pPr>
      <w:r>
        <w:rPr>
          <w:rFonts w:ascii="Times New Roman" w:hAnsi="Times New Roman"/>
          <w:b w:val="0"/>
          <w:sz w:val="22"/>
        </w:rPr>
        <w:t>At Closing, Company irrevocably assigns, transfers, and conveys to Assignee all of Company’s right, title, and interest in and to the Purchase Right, free and clear of all liens and encumbrances. Upon receipt of the Assignment Fee, Company shall instruct the Tax Credit Seller to execute the Transfer Election naming Assignee as the transferee.</w:t>
      </w:r>
    </w:p>
    <w:p>
      <w:pPr>
        <w:spacing w:after="40"/>
      </w:pPr>
    </w:p>
    <w:p>
      <w:pPr>
        <w:spacing w:after="100"/>
        <w:jc w:val="left"/>
      </w:pPr>
      <w:r>
        <w:rPr>
          <w:rFonts w:ascii="Times New Roman" w:hAnsi="Times New Roman"/>
          <w:b/>
          <w:sz w:val="22"/>
        </w:rPr>
        <w:t>Section 3.</w:t>
        <w:tab/>
        <w:t>Assignment Fee — Single Payment.</w:t>
      </w:r>
    </w:p>
    <w:p>
      <w:pPr>
        <w:spacing w:after="100"/>
        <w:ind w:left="720"/>
        <w:jc w:val="left"/>
      </w:pPr>
      <w:r>
        <w:rPr>
          <w:rFonts w:ascii="Times New Roman" w:hAnsi="Times New Roman"/>
          <w:b w:val="0"/>
          <w:sz w:val="22"/>
        </w:rPr>
        <w:t>In full consideration for the assignment of the Purchase Right, Assignee shall pay Company the Assignment Fee specified in Exhibit A by wire transfer on or before the Closing Date. The Assignment Fee is Assignee’s sole and complete payment obligation. Assignee shall make no payment to the Tax Credit Seller — Company has already paid the Tax Credit Seller in full.</w:t>
      </w:r>
    </w:p>
    <w:p>
      <w:pPr>
        <w:spacing w:after="40"/>
      </w:pPr>
    </w:p>
    <w:p>
      <w:pPr>
        <w:spacing w:after="100"/>
        <w:jc w:val="left"/>
      </w:pPr>
      <w:r>
        <w:rPr>
          <w:rFonts w:ascii="Times New Roman" w:hAnsi="Times New Roman"/>
          <w:b/>
          <w:sz w:val="22"/>
        </w:rPr>
        <w:t>Section 4.</w:t>
        <w:tab/>
        <w:t>Conditions to Closing.</w:t>
      </w:r>
    </w:p>
    <w:p>
      <w:pPr>
        <w:spacing w:after="100"/>
        <w:ind w:left="720"/>
        <w:jc w:val="left"/>
      </w:pPr>
      <w:r>
        <w:rPr>
          <w:rFonts w:ascii="Times New Roman" w:hAnsi="Times New Roman"/>
          <w:b w:val="0"/>
          <w:sz w:val="22"/>
        </w:rPr>
        <w:t>(a)  The Tax Credit Seller has provided Company with valid IRS Pre-Filing Registration number(s) for the Tax Credits, confirmed in writing and delivered to Assignee prior to Closing;</w:t>
      </w:r>
    </w:p>
    <w:p>
      <w:pPr>
        <w:spacing w:after="100"/>
        <w:ind w:left="720"/>
        <w:jc w:val="left"/>
      </w:pPr>
      <w:r>
        <w:rPr>
          <w:rFonts w:ascii="Times New Roman" w:hAnsi="Times New Roman"/>
          <w:b w:val="0"/>
          <w:sz w:val="22"/>
        </w:rPr>
        <w:t>(b)  The Tax Credit Seller has confirmed the Tax Credits have not been previously transferred and will execute the Transfer Election upon Company’s instruction;</w:t>
      </w:r>
    </w:p>
    <w:p>
      <w:pPr>
        <w:spacing w:after="100"/>
        <w:ind w:left="720"/>
        <w:jc w:val="left"/>
      </w:pPr>
      <w:r>
        <w:rPr>
          <w:rFonts w:ascii="Times New Roman" w:hAnsi="Times New Roman"/>
          <w:b w:val="0"/>
          <w:sz w:val="22"/>
        </w:rPr>
        <w:t>(c)  The Assignment Fee has been received by Company in cleared, immediately available funds; and</w:t>
      </w:r>
    </w:p>
    <w:p>
      <w:pPr>
        <w:spacing w:after="100"/>
        <w:ind w:left="720"/>
        <w:jc w:val="left"/>
      </w:pPr>
      <w:r>
        <w:rPr>
          <w:rFonts w:ascii="Times New Roman" w:hAnsi="Times New Roman"/>
          <w:b w:val="0"/>
          <w:sz w:val="22"/>
        </w:rPr>
        <w:t>(d)  EstateSpace Wealth Services, LLC has provided written confirmation that Assignee has completed all required KYC/AML and identity verification.</w:t>
      </w:r>
    </w:p>
    <w:p>
      <w:pPr>
        <w:spacing w:after="40"/>
      </w:pPr>
    </w:p>
    <w:p>
      <w:pPr>
        <w:spacing w:after="100"/>
        <w:jc w:val="left"/>
      </w:pPr>
      <w:r>
        <w:rPr>
          <w:rFonts w:ascii="Times New Roman" w:hAnsi="Times New Roman"/>
          <w:b/>
          <w:sz w:val="22"/>
        </w:rPr>
        <w:t>Section 5.</w:t>
        <w:tab/>
        <w:t>Closing Mechanics.</w:t>
      </w:r>
    </w:p>
    <w:p>
      <w:pPr>
        <w:spacing w:after="100"/>
        <w:ind w:left="720"/>
        <w:jc w:val="left"/>
      </w:pPr>
      <w:r>
        <w:rPr>
          <w:rFonts w:ascii="Times New Roman" w:hAnsi="Times New Roman"/>
          <w:b w:val="0"/>
          <w:sz w:val="22"/>
        </w:rPr>
        <w:t>Closing shall occur on the Closing Date: (i) Assignee wires the Assignment Fee to Company; (ii) upon receipt, Company instructs the Tax Credit Seller to execute the Transfer Election naming Assignee; (iii) Company delivers an executed copy of this Agreement, IRS Pre-Filing Registration confirmation, and a copy of the executed Transfer Election.</w:t>
      </w:r>
    </w:p>
    <w:p>
      <w:pPr>
        <w:spacing w:after="40"/>
      </w:pPr>
    </w:p>
    <w:p>
      <w:pPr>
        <w:spacing w:after="100"/>
        <w:jc w:val="left"/>
      </w:pPr>
      <w:r>
        <w:rPr>
          <w:rFonts w:ascii="Times New Roman" w:hAnsi="Times New Roman"/>
          <w:b/>
          <w:sz w:val="22"/>
        </w:rPr>
        <w:t>Section 6.</w:t>
        <w:tab/>
        <w:t>Company Representations and Warranties.</w:t>
      </w:r>
    </w:p>
    <w:p>
      <w:pPr>
        <w:spacing w:after="100"/>
        <w:ind w:left="720"/>
        <w:jc w:val="left"/>
      </w:pPr>
      <w:r>
        <w:rPr>
          <w:rFonts w:ascii="Times New Roman" w:hAnsi="Times New Roman"/>
          <w:b w:val="0"/>
          <w:sz w:val="22"/>
        </w:rPr>
        <w:t>(a)  Company is duly formed and in good standing under Utah law with full authority to assign the Purchase Right;</w:t>
      </w:r>
    </w:p>
    <w:p>
      <w:pPr>
        <w:spacing w:after="100"/>
        <w:ind w:left="720"/>
        <w:jc w:val="left"/>
      </w:pPr>
      <w:r>
        <w:rPr>
          <w:rFonts w:ascii="Times New Roman" w:hAnsi="Times New Roman"/>
          <w:b w:val="0"/>
          <w:sz w:val="22"/>
        </w:rPr>
        <w:t>(b)  Company owns the Purchase Right free and clear of all liens and has not previously assigned it;</w:t>
      </w:r>
    </w:p>
    <w:p>
      <w:pPr>
        <w:spacing w:after="100"/>
        <w:ind w:left="720"/>
        <w:jc w:val="left"/>
      </w:pPr>
      <w:r>
        <w:rPr>
          <w:rFonts w:ascii="Times New Roman" w:hAnsi="Times New Roman"/>
          <w:b w:val="0"/>
          <w:sz w:val="22"/>
        </w:rPr>
        <w:t>(c)  The MPA is valid, binding, and in full force and effect;</w:t>
      </w:r>
    </w:p>
    <w:p>
      <w:pPr>
        <w:spacing w:after="100"/>
        <w:ind w:left="720"/>
        <w:jc w:val="left"/>
      </w:pPr>
      <w:r>
        <w:rPr>
          <w:rFonts w:ascii="Times New Roman" w:hAnsi="Times New Roman"/>
          <w:b w:val="0"/>
          <w:sz w:val="22"/>
        </w:rPr>
        <w:t>(d)  Company is acting as a principal dealer and is not a registered broker-dealer.</w:t>
      </w:r>
    </w:p>
    <w:p>
      <w:pPr>
        <w:spacing w:after="100"/>
        <w:ind w:left="720"/>
        <w:jc w:val="left"/>
      </w:pPr>
      <w:r>
        <w:rPr>
          <w:rFonts w:ascii="Times New Roman" w:hAnsi="Times New Roman"/>
          <w:b w:val="0"/>
          <w:sz w:val="20"/>
        </w:rPr>
        <w:t>DISCLAIMER: EXCEPT AS EXPRESSLY SET FORTH ABOVE, COMPANY MAKES NO REPRESENTATION OR WARRANTY REGARDING THE TAX CREDITS, THE TAX CREDIT SELLER, OR TAX TREATMENT. ASSIGNEE HAS CONDUCTED ITS OWN INDEPENDENT INVESTIGATION.</w:t>
      </w:r>
    </w:p>
    <w:p>
      <w:pPr>
        <w:spacing w:after="40"/>
      </w:pPr>
    </w:p>
    <w:p>
      <w:pPr>
        <w:spacing w:after="100"/>
        <w:jc w:val="left"/>
      </w:pPr>
      <w:r>
        <w:rPr>
          <w:rFonts w:ascii="Times New Roman" w:hAnsi="Times New Roman"/>
          <w:b/>
          <w:sz w:val="22"/>
        </w:rPr>
        <w:t>Section 7.</w:t>
        <w:tab/>
        <w:t>Assignee Representations and Warranties.</w:t>
      </w:r>
    </w:p>
    <w:p>
      <w:pPr>
        <w:spacing w:after="100"/>
        <w:ind w:left="720"/>
        <w:jc w:val="left"/>
      </w:pPr>
      <w:r>
        <w:rPr>
          <w:rFonts w:ascii="Times New Roman" w:hAnsi="Times New Roman"/>
          <w:b w:val="0"/>
          <w:sz w:val="22"/>
        </w:rPr>
        <w:t>(a)  Assignee has full power and authority to execute this Agreement;</w:t>
      </w:r>
    </w:p>
    <w:p>
      <w:pPr>
        <w:spacing w:after="100"/>
        <w:ind w:left="720"/>
        <w:jc w:val="left"/>
      </w:pPr>
      <w:r>
        <w:rPr>
          <w:rFonts w:ascii="Times New Roman" w:hAnsi="Times New Roman"/>
          <w:b w:val="0"/>
          <w:sz w:val="22"/>
        </w:rPr>
        <w:t>(b)  Assignee is an Eligible Taxpayer under Section 6418 of the Code and is not a Prohibited Foreign Entity;</w:t>
      </w:r>
    </w:p>
    <w:p>
      <w:pPr>
        <w:spacing w:after="100"/>
        <w:ind w:left="720"/>
        <w:jc w:val="left"/>
      </w:pPr>
      <w:r>
        <w:rPr>
          <w:rFonts w:ascii="Times New Roman" w:hAnsi="Times New Roman"/>
          <w:b w:val="0"/>
          <w:sz w:val="22"/>
        </w:rPr>
        <w:t>(c)  Assignee is not on any OFAC, SDN, or U.S. government sanctions list;</w:t>
      </w:r>
    </w:p>
    <w:p>
      <w:pPr>
        <w:spacing w:after="100"/>
        <w:ind w:left="720"/>
        <w:jc w:val="left"/>
      </w:pPr>
      <w:r>
        <w:rPr>
          <w:rFonts w:ascii="Times New Roman" w:hAnsi="Times New Roman"/>
          <w:b w:val="0"/>
          <w:sz w:val="22"/>
        </w:rPr>
        <w:t>(d)  The funds used for the Assignment Fee are from lawful sources;</w:t>
      </w:r>
    </w:p>
    <w:p>
      <w:pPr>
        <w:spacing w:after="100"/>
        <w:ind w:left="720"/>
        <w:jc w:val="left"/>
      </w:pPr>
      <w:r>
        <w:rPr>
          <w:rFonts w:ascii="Times New Roman" w:hAnsi="Times New Roman"/>
          <w:b w:val="0"/>
          <w:sz w:val="22"/>
        </w:rPr>
        <w:t>(e)  Assignee has consulted with independent tax counsel and confirmed sufficient Section 38(c) capacity to utilize the Tax Credits in the 2025 tax year;</w:t>
      </w:r>
    </w:p>
    <w:p>
      <w:pPr>
        <w:spacing w:after="100"/>
        <w:ind w:left="720"/>
        <w:jc w:val="left"/>
      </w:pPr>
      <w:r>
        <w:rPr>
          <w:rFonts w:ascii="Times New Roman" w:hAnsi="Times New Roman"/>
          <w:b w:val="0"/>
          <w:sz w:val="22"/>
        </w:rPr>
        <w:t>(f)  Assignee understands and accepts the no re-transfer restriction under Section 6418(a)(2).</w:t>
      </w:r>
    </w:p>
    <w:p>
      <w:pPr>
        <w:spacing w:after="40"/>
      </w:pPr>
    </w:p>
    <w:p>
      <w:pPr>
        <w:spacing w:after="100"/>
        <w:jc w:val="left"/>
      </w:pPr>
      <w:r>
        <w:rPr>
          <w:rFonts w:ascii="Times New Roman" w:hAnsi="Times New Roman"/>
          <w:b/>
          <w:sz w:val="22"/>
        </w:rPr>
        <w:t>Section 8.</w:t>
        <w:tab/>
        <w:t>No Re-Transfer.</w:t>
      </w:r>
    </w:p>
    <w:p>
      <w:pPr>
        <w:spacing w:after="100"/>
        <w:ind w:left="720"/>
        <w:jc w:val="left"/>
      </w:pPr>
      <w:r>
        <w:rPr>
          <w:rFonts w:ascii="Times New Roman" w:hAnsi="Times New Roman"/>
          <w:b w:val="0"/>
          <w:sz w:val="22"/>
        </w:rPr>
        <w:t>Assignee may not re-transfer, sell, pledge, or otherwise dispose of the Purchase Right or any Tax Credits to any third party. Any attempted re-transfer is void ab initio under Section 6418(a)(2).</w:t>
      </w:r>
    </w:p>
    <w:p>
      <w:pPr>
        <w:spacing w:after="40"/>
      </w:pPr>
    </w:p>
    <w:p>
      <w:pPr>
        <w:spacing w:after="100"/>
        <w:jc w:val="left"/>
      </w:pPr>
      <w:r>
        <w:rPr>
          <w:rFonts w:ascii="Times New Roman" w:hAnsi="Times New Roman"/>
          <w:b/>
          <w:sz w:val="22"/>
        </w:rPr>
        <w:t>Section 9.</w:t>
        <w:tab/>
        <w:t>Risk Factors.</w:t>
      </w:r>
    </w:p>
    <w:p>
      <w:pPr>
        <w:spacing w:after="100"/>
        <w:ind w:left="720"/>
        <w:jc w:val="left"/>
      </w:pPr>
      <w:r>
        <w:rPr>
          <w:rFonts w:ascii="Times New Roman" w:hAnsi="Times New Roman"/>
          <w:b w:val="0"/>
          <w:sz w:val="22"/>
        </w:rPr>
        <w:t>(a)  IRS Audit: The IRS may audit the Tax Credit Seller and disallow credits. Under Section 6418(g), recapture stays with the Tax Credit Seller.</w:t>
      </w:r>
    </w:p>
    <w:p>
      <w:pPr>
        <w:spacing w:after="100"/>
        <w:ind w:left="720"/>
        <w:jc w:val="left"/>
      </w:pPr>
      <w:r>
        <w:rPr>
          <w:rFonts w:ascii="Times New Roman" w:hAnsi="Times New Roman"/>
          <w:b w:val="0"/>
          <w:sz w:val="22"/>
        </w:rPr>
        <w:t>(b)  §45Q Qualification: The Tax Credit Seller’s qualification via biological capture + mineralization has not been confirmed by specific IRS ruling.</w:t>
      </w:r>
    </w:p>
    <w:p>
      <w:pPr>
        <w:spacing w:after="100"/>
        <w:ind w:left="720"/>
        <w:jc w:val="left"/>
      </w:pPr>
      <w:r>
        <w:rPr>
          <w:rFonts w:ascii="Times New Roman" w:hAnsi="Times New Roman"/>
          <w:b w:val="0"/>
          <w:sz w:val="22"/>
        </w:rPr>
        <w:t>(c)  2025 Vintage: Independent VVB verification of the 2025 vintage has not been completed.</w:t>
      </w:r>
    </w:p>
    <w:p>
      <w:pPr>
        <w:spacing w:after="100"/>
        <w:ind w:left="720"/>
        <w:jc w:val="left"/>
      </w:pPr>
      <w:r>
        <w:rPr>
          <w:rFonts w:ascii="Times New Roman" w:hAnsi="Times New Roman"/>
          <w:b w:val="0"/>
          <w:sz w:val="22"/>
        </w:rPr>
        <w:t>(d)  No Secondary Market: Tax Credits are illiquid and cannot be re-sold.</w:t>
      </w:r>
    </w:p>
    <w:p>
      <w:pPr>
        <w:spacing w:after="100"/>
        <w:ind w:left="720"/>
        <w:jc w:val="left"/>
      </w:pPr>
      <w:r>
        <w:rPr>
          <w:rFonts w:ascii="Times New Roman" w:hAnsi="Times New Roman"/>
          <w:b w:val="0"/>
          <w:sz w:val="22"/>
        </w:rPr>
        <w:t>(e)  Legislative Risk: Congress or Treasury may amend or repeal §45Q or §6418.</w:t>
      </w:r>
    </w:p>
    <w:p>
      <w:pPr>
        <w:spacing w:after="40"/>
      </w:pPr>
    </w:p>
    <w:p>
      <w:pPr>
        <w:spacing w:after="100"/>
        <w:jc w:val="left"/>
      </w:pPr>
      <w:r>
        <w:rPr>
          <w:rFonts w:ascii="Times New Roman" w:hAnsi="Times New Roman"/>
          <w:b/>
          <w:sz w:val="22"/>
        </w:rPr>
        <w:t>Section 10.</w:t>
        <w:tab/>
        <w:t>Limitation of Liability.</w:t>
      </w:r>
    </w:p>
    <w:p>
      <w:pPr>
        <w:spacing w:after="100"/>
        <w:ind w:left="720"/>
        <w:jc w:val="left"/>
      </w:pPr>
      <w:r>
        <w:rPr>
          <w:rFonts w:ascii="Times New Roman" w:hAnsi="Times New Roman"/>
          <w:b w:val="0"/>
          <w:sz w:val="22"/>
        </w:rPr>
        <w:t>Company’s aggregate liability shall not exceed the Assignment Fee actually paid. Company has no liability for any act or failure of the Tax Credit Seller or for IRS audit, recapture, or disallowance.</w:t>
      </w:r>
    </w:p>
    <w:p>
      <w:pPr>
        <w:spacing w:after="40"/>
      </w:pPr>
    </w:p>
    <w:p>
      <w:pPr>
        <w:spacing w:after="100"/>
        <w:jc w:val="left"/>
      </w:pPr>
      <w:r>
        <w:rPr>
          <w:rFonts w:ascii="Times New Roman" w:hAnsi="Times New Roman"/>
          <w:b/>
          <w:sz w:val="22"/>
        </w:rPr>
        <w:t>Section 11.</w:t>
        <w:tab/>
        <w:t>No Tax or Legal Advice.</w:t>
      </w:r>
    </w:p>
    <w:p>
      <w:pPr>
        <w:spacing w:after="100"/>
        <w:ind w:left="720"/>
        <w:jc w:val="left"/>
      </w:pPr>
      <w:r>
        <w:rPr>
          <w:rFonts w:ascii="Times New Roman" w:hAnsi="Times New Roman"/>
          <w:b w:val="0"/>
          <w:sz w:val="20"/>
        </w:rPr>
        <w:t>COMPANY IS NOT PROVIDING TAX, LEGAL, OR INVESTMENT ADVICE. ASSIGNEE HAS RELIED SOLELY UPON ITS OWN INDEPENDENT ADVISORS. THIS AGREEMENT DOES NOT CONSTITUTE AN OFFER OR SALE OF ANY SECURITY.</w:t>
      </w:r>
    </w:p>
    <w:p>
      <w:pPr>
        <w:spacing w:after="40"/>
      </w:pPr>
    </w:p>
    <w:p>
      <w:pPr>
        <w:spacing w:after="100"/>
        <w:jc w:val="left"/>
      </w:pPr>
      <w:r>
        <w:rPr>
          <w:rFonts w:ascii="Times New Roman" w:hAnsi="Times New Roman"/>
          <w:b/>
          <w:sz w:val="22"/>
        </w:rPr>
        <w:t>Section 12.</w:t>
        <w:tab/>
        <w:t>Confidentiality.</w:t>
      </w:r>
    </w:p>
    <w:p>
      <w:pPr>
        <w:spacing w:after="100"/>
        <w:ind w:left="720"/>
        <w:jc w:val="left"/>
      </w:pPr>
      <w:r>
        <w:rPr>
          <w:rFonts w:ascii="Times New Roman" w:hAnsi="Times New Roman"/>
          <w:b w:val="0"/>
          <w:sz w:val="22"/>
        </w:rPr>
        <w:t>Each party shall keep all non-public information concerning this Agreement and the Tax Credit Seller in strict confidence for five (5) years.</w:t>
      </w:r>
    </w:p>
    <w:p>
      <w:pPr>
        <w:spacing w:after="40"/>
      </w:pPr>
    </w:p>
    <w:p>
      <w:pPr>
        <w:spacing w:after="100"/>
        <w:jc w:val="left"/>
      </w:pPr>
      <w:r>
        <w:rPr>
          <w:rFonts w:ascii="Times New Roman" w:hAnsi="Times New Roman"/>
          <w:b/>
          <w:sz w:val="22"/>
        </w:rPr>
        <w:t>Section 13.</w:t>
        <w:tab/>
        <w:t>General Provisions.</w:t>
      </w:r>
    </w:p>
    <w:p>
      <w:pPr>
        <w:spacing w:after="100"/>
        <w:ind w:left="720"/>
        <w:jc w:val="left"/>
      </w:pPr>
      <w:r>
        <w:rPr>
          <w:rFonts w:ascii="Times New Roman" w:hAnsi="Times New Roman"/>
          <w:b w:val="0"/>
          <w:sz w:val="22"/>
        </w:rPr>
        <w:t>(a)  Governing Law: Utah law governs without regard to conflict-of-law principles.</w:t>
      </w:r>
    </w:p>
    <w:p>
      <w:pPr>
        <w:spacing w:after="100"/>
        <w:ind w:left="720"/>
        <w:jc w:val="left"/>
      </w:pPr>
      <w:r>
        <w:rPr>
          <w:rFonts w:ascii="Times New Roman" w:hAnsi="Times New Roman"/>
          <w:b w:val="0"/>
          <w:sz w:val="22"/>
        </w:rPr>
        <w:t>(b)  Dispute Resolution: Binding arbitration under AAA Commercial Rules in Salt Lake City, Utah.</w:t>
      </w:r>
    </w:p>
    <w:p>
      <w:pPr>
        <w:spacing w:after="100"/>
        <w:ind w:left="720"/>
        <w:jc w:val="left"/>
      </w:pPr>
      <w:r>
        <w:rPr>
          <w:rFonts w:ascii="Times New Roman" w:hAnsi="Times New Roman"/>
          <w:b w:val="0"/>
          <w:sz w:val="22"/>
        </w:rPr>
        <w:t>(c)  Independent Contractors: No partnership, joint venture, agency, or fiduciary relationship created.</w:t>
      </w:r>
    </w:p>
    <w:p>
      <w:pPr>
        <w:spacing w:after="100"/>
        <w:ind w:left="720"/>
        <w:jc w:val="left"/>
      </w:pPr>
      <w:r>
        <w:rPr>
          <w:rFonts w:ascii="Times New Roman" w:hAnsi="Times New Roman"/>
          <w:b w:val="0"/>
          <w:sz w:val="22"/>
        </w:rPr>
        <w:t>(d)  Entire Agreement: This Agreement and Exhibits constitute the entire agreement.</w:t>
      </w:r>
    </w:p>
    <w:p>
      <w:pPr>
        <w:spacing w:after="100"/>
        <w:ind w:left="720"/>
        <w:jc w:val="left"/>
      </w:pPr>
      <w:r>
        <w:rPr>
          <w:rFonts w:ascii="Times New Roman" w:hAnsi="Times New Roman"/>
          <w:b w:val="0"/>
          <w:sz w:val="22"/>
        </w:rPr>
        <w:t>(e)  Amendments: No amendment is effective unless in writing and signed by both parties.</w:t>
      </w:r>
    </w:p>
    <w:p>
      <w:pPr>
        <w:spacing w:after="100"/>
        <w:ind w:left="720"/>
        <w:jc w:val="left"/>
      </w:pPr>
      <w:r>
        <w:rPr>
          <w:rFonts w:ascii="Times New Roman" w:hAnsi="Times New Roman"/>
          <w:b w:val="0"/>
          <w:sz w:val="22"/>
        </w:rPr>
        <w:t>(f)  Counterparts: Executable in counterparts. Electronic signatures are valid originals.</w:t>
      </w:r>
    </w:p>
    <w:p>
      <w:pPr>
        <w:spacing w:after="100"/>
        <w:ind w:left="720"/>
        <w:jc w:val="left"/>
      </w:pPr>
      <w:r>
        <w:rPr>
          <w:rFonts w:ascii="Times New Roman" w:hAnsi="Times New Roman"/>
          <w:b w:val="0"/>
          <w:sz w:val="22"/>
        </w:rPr>
        <w:t>(g)  No Securities: The Purchase Right is a commercial contractual asset, not a security.</w:t>
      </w:r>
    </w:p>
    <w:p>
      <w:pPr>
        <w:spacing w:after="40"/>
      </w:pPr>
    </w:p>
    <w:p>
      <w:pPr>
        <w:spacing w:before="160" w:after="80"/>
        <w:jc w:val="left"/>
      </w:pPr>
      <w:r>
        <w:rPr>
          <w:rFonts w:ascii="Times New Roman" w:hAnsi="Times New Roman"/>
          <w:b/>
          <w:sz w:val="22"/>
        </w:rPr>
        <w:t>SIGNATURES</w:t>
      </w:r>
    </w:p>
    <w:p>
      <w:pPr>
        <w:spacing w:after="100"/>
        <w:jc w:val="left"/>
      </w:pPr>
      <w:r>
        <w:rPr>
          <w:rFonts w:ascii="Times New Roman" w:hAnsi="Times New Roman"/>
          <w:b w:val="0"/>
          <w:sz w:val="22"/>
        </w:rPr>
        <w:t>IN WITNESS WHEREOF, the parties have executed this Agreement as of the Closing Date.</w:t>
      </w:r>
    </w:p>
    <w:p>
      <w:pPr>
        <w:spacing w:after="40"/>
      </w:pPr>
    </w:p>
    <w:p>
      <w:pPr>
        <w:spacing w:after="100"/>
        <w:jc w:val="left"/>
      </w:pPr>
      <w:r>
        <w:rPr>
          <w:rFonts w:ascii="Times New Roman" w:hAnsi="Times New Roman"/>
          <w:b/>
          <w:sz w:val="22"/>
        </w:rPr>
        <w:t>ASSIGNOR — WELCOME 1231 LLC:</w:t>
      </w:r>
    </w:p>
    <w:p>
      <w:pPr>
        <w:spacing w:after="160"/>
        <w:ind w:left="720"/>
      </w:pPr>
      <w:r>
        <w:rPr>
          <w:rFonts w:ascii="Times New Roman" w:hAnsi="Times New Roman"/>
          <w:b/>
          <w:sz w:val="22"/>
        </w:rPr>
        <w:t xml:space="preserve">By:  </w:t>
      </w:r>
      <w:r>
        <w:rPr>
          <w:rFonts w:ascii="Times New Roman" w:hAnsi="Times New Roman"/>
          <w:sz w:val="22"/>
        </w:rPr>
        <w:t>________________________________</w:t>
      </w:r>
    </w:p>
    <w:p>
      <w:pPr>
        <w:spacing w:after="160"/>
        <w:ind w:left="720"/>
      </w:pPr>
      <w:r>
        <w:rPr>
          <w:rFonts w:ascii="Times New Roman" w:hAnsi="Times New Roman"/>
          <w:b/>
          <w:sz w:val="22"/>
        </w:rPr>
        <w:t xml:space="preserve">Name:  </w:t>
      </w:r>
      <w:r>
        <w:rPr>
          <w:rFonts w:ascii="Times New Roman" w:hAnsi="Times New Roman"/>
          <w:sz w:val="22"/>
        </w:rPr>
        <w:t>Benjamin Thrasher</w:t>
      </w:r>
    </w:p>
    <w:p>
      <w:pPr>
        <w:spacing w:after="160"/>
        <w:ind w:left="720"/>
      </w:pPr>
      <w:r>
        <w:rPr>
          <w:rFonts w:ascii="Times New Roman" w:hAnsi="Times New Roman"/>
          <w:b/>
          <w:sz w:val="22"/>
        </w:rPr>
        <w:t xml:space="preserve">Title:  </w:t>
      </w:r>
      <w:r>
        <w:rPr>
          <w:rFonts w:ascii="Times New Roman" w:hAnsi="Times New Roman"/>
          <w:sz w:val="22"/>
        </w:rPr>
        <w:t>Manager, Utah Carbon MGR LLC</w:t>
      </w:r>
    </w:p>
    <w:p>
      <w:pPr>
        <w:spacing w:after="160"/>
        <w:ind w:left="720"/>
      </w:pPr>
      <w:r>
        <w:rPr>
          <w:rFonts w:ascii="Times New Roman" w:hAnsi="Times New Roman"/>
          <w:b/>
          <w:sz w:val="22"/>
        </w:rPr>
        <w:t xml:space="preserve">Date:  </w:t>
      </w:r>
      <w:r>
        <w:rPr>
          <w:rFonts w:ascii="Times New Roman" w:hAnsi="Times New Roman"/>
          <w:sz w:val="22"/>
        </w:rPr>
        <w:t>___________________________</w:t>
      </w:r>
    </w:p>
    <w:p>
      <w:pPr>
        <w:spacing w:after="40"/>
      </w:pPr>
    </w:p>
    <w:p>
      <w:pPr>
        <w:spacing w:after="100"/>
        <w:jc w:val="left"/>
      </w:pPr>
      <w:r>
        <w:rPr>
          <w:rFonts w:ascii="Times New Roman" w:hAnsi="Times New Roman"/>
          <w:b/>
          <w:sz w:val="22"/>
        </w:rPr>
        <w:t>ASSIGNEE:</w:t>
      </w:r>
    </w:p>
    <w:p>
      <w:pPr>
        <w:spacing w:after="160"/>
        <w:ind w:left="720"/>
      </w:pPr>
      <w:r>
        <w:rPr>
          <w:rFonts w:ascii="Times New Roman" w:hAnsi="Times New Roman"/>
          <w:b/>
          <w:sz w:val="22"/>
        </w:rPr>
        <w:t xml:space="preserve">By:  </w:t>
      </w:r>
      <w:r>
        <w:rPr>
          <w:rFonts w:ascii="Times New Roman" w:hAnsi="Times New Roman"/>
          <w:sz w:val="22"/>
        </w:rPr>
        <w:t>___________________________</w:t>
      </w:r>
    </w:p>
    <w:p>
      <w:pPr>
        <w:spacing w:after="160"/>
        <w:ind w:left="720"/>
      </w:pPr>
      <w:r>
        <w:rPr>
          <w:rFonts w:ascii="Times New Roman" w:hAnsi="Times New Roman"/>
          <w:b/>
          <w:sz w:val="22"/>
        </w:rPr>
        <w:t xml:space="preserve">Name:  </w:t>
      </w:r>
      <w:r>
        <w:rPr>
          <w:rFonts w:ascii="Times New Roman" w:hAnsi="Times New Roman"/>
          <w:sz w:val="22"/>
        </w:rPr>
        <w:t>_______________________________________</w:t>
      </w:r>
    </w:p>
    <w:p>
      <w:pPr>
        <w:spacing w:after="160"/>
        <w:ind w:left="720"/>
      </w:pPr>
      <w:r>
        <w:rPr>
          <w:rFonts w:ascii="Times New Roman" w:hAnsi="Times New Roman"/>
          <w:b/>
          <w:sz w:val="22"/>
        </w:rPr>
        <w:t xml:space="preserve">Title:  </w:t>
      </w:r>
      <w:r>
        <w:rPr>
          <w:rFonts w:ascii="Times New Roman" w:hAnsi="Times New Roman"/>
          <w:sz w:val="22"/>
        </w:rPr>
        <w:t>___________________________</w:t>
      </w:r>
    </w:p>
    <w:p>
      <w:pPr>
        <w:spacing w:after="160"/>
        <w:ind w:left="720"/>
      </w:pPr>
      <w:r>
        <w:rPr>
          <w:rFonts w:ascii="Times New Roman" w:hAnsi="Times New Roman"/>
          <w:b/>
          <w:sz w:val="22"/>
        </w:rPr>
        <w:t xml:space="preserve">Date:  </w:t>
      </w:r>
      <w:r>
        <w:rPr>
          <w:rFonts w:ascii="Times New Roman" w:hAnsi="Times New Roman"/>
          <w:sz w:val="22"/>
        </w:rPr>
        <w:t>___________________________</w:t>
      </w:r>
    </w:p>
    <w:p>
      <w:pPr>
        <w:spacing w:after="40"/>
      </w:pPr>
    </w:p>
    <w:p>
      <w:r>
        <w:br w:type="page"/>
      </w:r>
    </w:p>
    <w:p>
      <w:pPr>
        <w:spacing w:before="160" w:after="80"/>
        <w:jc w:val="center"/>
      </w:pPr>
      <w:r>
        <w:rPr>
          <w:rFonts w:ascii="Times New Roman" w:hAnsi="Times New Roman"/>
          <w:b/>
          <w:sz w:val="26"/>
        </w:rPr>
        <w:t>EXHIBIT A</w:t>
      </w:r>
    </w:p>
    <w:p>
      <w:pPr>
        <w:spacing w:before="160" w:after="80"/>
        <w:jc w:val="center"/>
      </w:pPr>
      <w:r>
        <w:rPr>
          <w:rFonts w:ascii="Times New Roman" w:hAnsi="Times New Roman"/>
          <w:b/>
          <w:sz w:val="22"/>
        </w:rPr>
        <w:t>TRANSACTION DETAILS</w:t>
      </w:r>
    </w:p>
    <w:p>
      <w:pPr>
        <w:spacing w:after="40"/>
      </w:pPr>
    </w:p>
    <w:tbl>
      <w:tblPr>
        <w:tblStyle w:val="TableGrid"/>
        <w:tblW w:type="auto" w:w="0"/>
        <w:tblLook w:firstColumn="1" w:firstRow="1" w:lastColumn="0" w:lastRow="0" w:noHBand="0" w:noVBand="1" w:val="04A0"/>
      </w:tblPr>
      <w:tblGrid>
        <w:gridCol w:w="4320"/>
        <w:gridCol w:w="4320"/>
      </w:tblGrid>
      <w:tr>
        <w:tc>
          <w:tcPr>
            <w:tcW w:type="dxa" w:w="4320"/>
          </w:tcPr>
          <w:p>
            <w:r>
              <w:rPr>
                <w:rFonts w:ascii="Times New Roman" w:hAnsi="Times New Roman"/>
                <w:b/>
                <w:sz w:val="18"/>
              </w:rPr>
              <w:t>Closing Date:</w:t>
            </w:r>
          </w:p>
        </w:tc>
        <w:tc>
          <w:tcPr>
            <w:tcW w:type="dxa" w:w="4320"/>
          </w:tcPr>
          <w:p>
            <w:r>
              <w:rPr>
                <w:rFonts w:ascii="Times New Roman" w:hAnsi="Times New Roman"/>
                <w:sz w:val="18"/>
              </w:rPr>
              <w:t>___________________________</w:t>
            </w:r>
          </w:p>
        </w:tc>
      </w:tr>
      <w:tr>
        <w:tc>
          <w:tcPr>
            <w:tcW w:type="dxa" w:w="4320"/>
          </w:tcPr>
          <w:p>
            <w:r>
              <w:rPr>
                <w:rFonts w:ascii="Times New Roman" w:hAnsi="Times New Roman"/>
                <w:b/>
                <w:sz w:val="18"/>
              </w:rPr>
              <w:t>Tax Credit Seller:</w:t>
            </w:r>
          </w:p>
        </w:tc>
        <w:tc>
          <w:tcPr>
            <w:tcW w:type="dxa" w:w="4320"/>
          </w:tcPr>
          <w:p>
            <w:r>
              <w:rPr>
                <w:rFonts w:ascii="Times New Roman" w:hAnsi="Times New Roman"/>
                <w:sz w:val="18"/>
              </w:rPr>
              <w:t>Dynamic Carbon Credits, LLC</w:t>
            </w:r>
          </w:p>
        </w:tc>
      </w:tr>
      <w:tr>
        <w:tc>
          <w:tcPr>
            <w:tcW w:type="dxa" w:w="4320"/>
          </w:tcPr>
          <w:p>
            <w:r>
              <w:rPr>
                <w:rFonts w:ascii="Times New Roman" w:hAnsi="Times New Roman"/>
                <w:b/>
                <w:sz w:val="18"/>
              </w:rPr>
              <w:t>Seller Contact:</w:t>
            </w:r>
          </w:p>
        </w:tc>
        <w:tc>
          <w:tcPr>
            <w:tcW w:type="dxa" w:w="4320"/>
          </w:tcPr>
          <w:p>
            <w:r>
              <w:rPr>
                <w:rFonts w:ascii="Times New Roman" w:hAnsi="Times New Roman"/>
                <w:sz w:val="18"/>
              </w:rPr>
              <w:t>Beau Parmenter, CEO — beau@offsets.credit | 800.208.5468</w:t>
            </w:r>
          </w:p>
        </w:tc>
      </w:tr>
      <w:tr>
        <w:tc>
          <w:tcPr>
            <w:tcW w:type="dxa" w:w="4320"/>
          </w:tcPr>
          <w:p>
            <w:r>
              <w:rPr>
                <w:rFonts w:ascii="Times New Roman" w:hAnsi="Times New Roman"/>
                <w:b/>
                <w:sz w:val="18"/>
              </w:rPr>
              <w:t>Credit Type:</w:t>
            </w:r>
          </w:p>
        </w:tc>
        <w:tc>
          <w:tcPr>
            <w:tcW w:type="dxa" w:w="4320"/>
          </w:tcPr>
          <w:p>
            <w:r>
              <w:rPr>
                <w:rFonts w:ascii="Times New Roman" w:hAnsi="Times New Roman"/>
                <w:sz w:val="18"/>
              </w:rPr>
              <w:t>Section 45Q — Carbon Oxide Sequestration Tax Credits</w:t>
            </w:r>
          </w:p>
        </w:tc>
      </w:tr>
      <w:tr>
        <w:tc>
          <w:tcPr>
            <w:tcW w:type="dxa" w:w="4320"/>
          </w:tcPr>
          <w:p>
            <w:r>
              <w:rPr>
                <w:rFonts w:ascii="Times New Roman" w:hAnsi="Times New Roman"/>
                <w:b/>
                <w:sz w:val="18"/>
              </w:rPr>
              <w:t>Credit Vintage:</w:t>
            </w:r>
          </w:p>
        </w:tc>
        <w:tc>
          <w:tcPr>
            <w:tcW w:type="dxa" w:w="4320"/>
          </w:tcPr>
          <w:p>
            <w:r>
              <w:rPr>
                <w:rFonts w:ascii="Times New Roman" w:hAnsi="Times New Roman"/>
                <w:sz w:val="18"/>
              </w:rPr>
              <w:t>2025</w:t>
            </w:r>
          </w:p>
        </w:tc>
      </w:tr>
      <w:tr>
        <w:tc>
          <w:tcPr>
            <w:tcW w:type="dxa" w:w="4320"/>
          </w:tcPr>
          <w:p>
            <w:r>
              <w:rPr>
                <w:rFonts w:ascii="Times New Roman" w:hAnsi="Times New Roman"/>
                <w:b/>
                <w:sz w:val="18"/>
              </w:rPr>
              <w:t>Assignee Full Legal Name:</w:t>
            </w:r>
          </w:p>
        </w:tc>
        <w:tc>
          <w:tcPr>
            <w:tcW w:type="dxa" w:w="4320"/>
          </w:tcPr>
          <w:p>
            <w:r>
              <w:rPr>
                <w:rFonts w:ascii="Times New Roman" w:hAnsi="Times New Roman"/>
                <w:sz w:val="18"/>
              </w:rPr>
              <w:t>_______________________________________</w:t>
            </w:r>
          </w:p>
        </w:tc>
      </w:tr>
      <w:tr>
        <w:tc>
          <w:tcPr>
            <w:tcW w:type="dxa" w:w="4320"/>
          </w:tcPr>
          <w:p>
            <w:r>
              <w:rPr>
                <w:rFonts w:ascii="Times New Roman" w:hAnsi="Times New Roman"/>
                <w:b/>
                <w:sz w:val="18"/>
              </w:rPr>
              <w:t>Face Value of Tax Credits:</w:t>
            </w:r>
          </w:p>
        </w:tc>
        <w:tc>
          <w:tcPr>
            <w:tcW w:type="dxa" w:w="4320"/>
          </w:tcPr>
          <w:p>
            <w:r>
              <w:rPr>
                <w:rFonts w:ascii="Times New Roman" w:hAnsi="Times New Roman"/>
                <w:sz w:val="18"/>
              </w:rPr>
              <w:t>___________________________</w:t>
            </w:r>
          </w:p>
        </w:tc>
      </w:tr>
      <w:tr>
        <w:tc>
          <w:tcPr>
            <w:tcW w:type="dxa" w:w="4320"/>
          </w:tcPr>
          <w:p>
            <w:r>
              <w:rPr>
                <w:rFonts w:ascii="Times New Roman" w:hAnsi="Times New Roman"/>
                <w:b/>
                <w:sz w:val="18"/>
              </w:rPr>
              <w:t>Assignment Fee (Assignee pays Company):</w:t>
            </w:r>
          </w:p>
        </w:tc>
        <w:tc>
          <w:tcPr>
            <w:tcW w:type="dxa" w:w="4320"/>
          </w:tcPr>
          <w:p>
            <w:r>
              <w:rPr>
                <w:rFonts w:ascii="Times New Roman" w:hAnsi="Times New Roman"/>
                <w:sz w:val="18"/>
              </w:rPr>
              <w:t>___________________________</w:t>
            </w:r>
          </w:p>
        </w:tc>
      </w:tr>
      <w:tr>
        <w:tc>
          <w:tcPr>
            <w:tcW w:type="dxa" w:w="4320"/>
          </w:tcPr>
          <w:p>
            <w:r>
              <w:rPr>
                <w:rFonts w:ascii="Times New Roman" w:hAnsi="Times New Roman"/>
                <w:b/>
                <w:sz w:val="18"/>
              </w:rPr>
              <w:t>Net Tax Savings to Assignee:</w:t>
            </w:r>
          </w:p>
        </w:tc>
        <w:tc>
          <w:tcPr>
            <w:tcW w:type="dxa" w:w="4320"/>
          </w:tcPr>
          <w:p>
            <w:r>
              <w:rPr>
                <w:rFonts w:ascii="Times New Roman" w:hAnsi="Times New Roman"/>
                <w:sz w:val="18"/>
              </w:rPr>
              <w:t>___________________________</w:t>
            </w:r>
          </w:p>
        </w:tc>
      </w:tr>
      <w:tr>
        <w:tc>
          <w:tcPr>
            <w:tcW w:type="dxa" w:w="4320"/>
          </w:tcPr>
          <w:p>
            <w:r>
              <w:rPr>
                <w:rFonts w:ascii="Times New Roman" w:hAnsi="Times New Roman"/>
                <w:b/>
                <w:sz w:val="18"/>
              </w:rPr>
              <w:t>Wire Instructions (Welcome 1231 LLC):</w:t>
            </w:r>
          </w:p>
        </w:tc>
        <w:tc>
          <w:tcPr>
            <w:tcW w:type="dxa" w:w="4320"/>
          </w:tcPr>
          <w:p>
            <w:r>
              <w:rPr>
                <w:rFonts w:ascii="Times New Roman" w:hAnsi="Times New Roman"/>
                <w:sz w:val="18"/>
              </w:rPr>
              <w:t>See Wire Instructions Page</w:t>
            </w:r>
          </w:p>
        </w:tc>
      </w:tr>
      <w:tr>
        <w:tc>
          <w:tcPr>
            <w:tcW w:type="dxa" w:w="4320"/>
          </w:tcPr>
          <w:p>
            <w:r>
              <w:rPr>
                <w:rFonts w:ascii="Times New Roman" w:hAnsi="Times New Roman"/>
                <w:b/>
                <w:sz w:val="18"/>
              </w:rPr>
              <w:t>IRS Pre-Filing Registration #:</w:t>
            </w:r>
          </w:p>
        </w:tc>
        <w:tc>
          <w:tcPr>
            <w:tcW w:type="dxa" w:w="4320"/>
          </w:tcPr>
          <w:p>
            <w:r>
              <w:rPr>
                <w:rFonts w:ascii="Times New Roman" w:hAnsi="Times New Roman"/>
                <w:sz w:val="18"/>
              </w:rPr>
              <w:t>___________________________</w:t>
            </w:r>
          </w:p>
        </w:tc>
      </w:tr>
      <w:tr>
        <w:tc>
          <w:tcPr>
            <w:tcW w:type="dxa" w:w="4320"/>
          </w:tcPr>
          <w:p>
            <w:r>
              <w:rPr>
                <w:rFonts w:ascii="Times New Roman" w:hAnsi="Times New Roman"/>
                <w:b/>
                <w:sz w:val="18"/>
              </w:rPr>
              <w:t>MPA Reference:</w:t>
            </w:r>
          </w:p>
        </w:tc>
        <w:tc>
          <w:tcPr>
            <w:tcW w:type="dxa" w:w="4320"/>
          </w:tcPr>
          <w:p>
            <w:r>
              <w:rPr>
                <w:rFonts w:ascii="Times New Roman" w:hAnsi="Times New Roman"/>
                <w:sz w:val="18"/>
              </w:rPr>
              <w:t>Carbon and Tax Credit MPA — Welcome 1231 LLC &amp; Dynamic Carbon Credits, LLC</w:t>
            </w:r>
          </w:p>
        </w:tc>
      </w:tr>
    </w:tbl>
    <w:p>
      <w:pPr>
        <w:spacing w:after="40"/>
      </w:pPr>
    </w:p>
    <w:p>
      <w:pPr>
        <w:spacing w:after="40"/>
      </w:pPr>
    </w:p>
    <w:p>
      <w:pPr>
        <w:spacing w:after="100"/>
        <w:jc w:val="left"/>
      </w:pPr>
      <w:r>
        <w:rPr>
          <w:rFonts w:ascii="Times New Roman" w:hAnsi="Times New Roman"/>
          <w:b/>
          <w:sz w:val="22"/>
        </w:rPr>
        <w:t>ECONOMICS SUMMARY</w:t>
      </w:r>
    </w:p>
    <w:p>
      <w:pPr>
        <w:spacing w:after="100"/>
        <w:ind w:left="360"/>
      </w:pPr>
      <w:r>
        <w:rPr>
          <w:rFonts w:ascii="Times New Roman" w:hAnsi="Times New Roman"/>
          <w:sz w:val="20"/>
        </w:rPr>
        <w:t xml:space="preserve">Face Value of Tax Credits:  </w:t>
      </w:r>
      <w:r>
        <w:rPr>
          <w:rFonts w:ascii="Times New Roman" w:hAnsi="Times New Roman"/>
          <w:b/>
          <w:sz w:val="20"/>
        </w:rPr>
        <w:t>___________________________</w:t>
      </w:r>
    </w:p>
    <w:p>
      <w:pPr>
        <w:spacing w:after="100"/>
        <w:ind w:left="360"/>
      </w:pPr>
      <w:r>
        <w:rPr>
          <w:rFonts w:ascii="Times New Roman" w:hAnsi="Times New Roman"/>
          <w:sz w:val="20"/>
        </w:rPr>
        <w:t xml:space="preserve">Less: Assignment Fee paid by Assignee:  </w:t>
      </w:r>
      <w:r>
        <w:rPr>
          <w:rFonts w:ascii="Times New Roman" w:hAnsi="Times New Roman"/>
          <w:b/>
          <w:sz w:val="20"/>
        </w:rPr>
        <w:t>(___________________________)</w:t>
      </w:r>
    </w:p>
    <w:p>
      <w:pPr>
        <w:spacing w:after="100"/>
        <w:ind w:left="360"/>
      </w:pPr>
      <w:r>
        <w:rPr>
          <w:rFonts w:ascii="Times New Roman" w:hAnsi="Times New Roman"/>
          <w:sz w:val="20"/>
        </w:rPr>
        <w:t xml:space="preserve">Net Tax Benefit to Assignee:  </w:t>
      </w:r>
      <w:r>
        <w:rPr>
          <w:rFonts w:ascii="Times New Roman" w:hAnsi="Times New Roman"/>
          <w:b/>
          <w:sz w:val="20"/>
        </w:rPr>
        <w:t>___________________________</w:t>
      </w:r>
    </w:p>
    <w:p>
      <w:pPr>
        <w:spacing w:after="100"/>
        <w:ind w:left="360"/>
      </w:pPr>
      <w:r>
        <w:rPr>
          <w:rFonts w:ascii="Times New Roman" w:hAnsi="Times New Roman"/>
          <w:sz w:val="20"/>
        </w:rPr>
        <w:t xml:space="preserve">Effective Tax Savings Rate:  </w:t>
      </w:r>
      <w:r>
        <w:rPr>
          <w:rFonts w:ascii="Times New Roman" w:hAnsi="Times New Roman"/>
          <w:b/>
          <w:sz w:val="20"/>
        </w:rPr>
        <w:t>___________________________%</w:t>
      </w:r>
    </w:p>
    <w:p>
      <w:pPr>
        <w:spacing w:after="40"/>
      </w:pPr>
    </w:p>
    <w:p>
      <w:pPr>
        <w:spacing w:after="100"/>
        <w:ind w:left="720"/>
        <w:jc w:val="left"/>
      </w:pPr>
      <w:r>
        <w:rPr>
          <w:rFonts w:ascii="Times New Roman" w:hAnsi="Times New Roman"/>
          <w:b w:val="0"/>
          <w:sz w:val="18"/>
        </w:rPr>
        <w:t>NOTE: This is not an investment return. It is a permanent, immediate reduction in 2025 federal tax liability.</w:t>
      </w:r>
    </w:p>
    <w:p>
      <w:pPr>
        <w:spacing w:after="40"/>
      </w:pPr>
    </w:p>
    <w:p>
      <w:pPr>
        <w:spacing w:after="100"/>
        <w:jc w:val="left"/>
      </w:pPr>
      <w:r>
        <w:rPr>
          <w:rFonts w:ascii="Times New Roman" w:hAnsi="Times New Roman"/>
          <w:b/>
          <w:sz w:val="22"/>
        </w:rPr>
        <w:t>BUYER ACKNOWLEDGMENTS — INITIAL ALL THREE:</w:t>
      </w:r>
    </w:p>
    <w:p>
      <w:pPr>
        <w:spacing w:after="100"/>
        <w:ind w:left="720"/>
        <w:jc w:val="left"/>
      </w:pPr>
      <w:r>
        <w:rPr>
          <w:rFonts w:ascii="Times New Roman" w:hAnsi="Times New Roman"/>
          <w:b w:val="0"/>
          <w:sz w:val="22"/>
        </w:rPr>
        <w:t>□  _____   I have consulted with independent tax counsel regarding my ability to utilize §45Q credits.</w:t>
      </w:r>
    </w:p>
    <w:p>
      <w:pPr>
        <w:spacing w:after="100"/>
        <w:ind w:left="720"/>
        <w:jc w:val="left"/>
      </w:pPr>
      <w:r>
        <w:rPr>
          <w:rFonts w:ascii="Times New Roman" w:hAnsi="Times New Roman"/>
          <w:b w:val="0"/>
          <w:sz w:val="22"/>
        </w:rPr>
        <w:t>□  _____   My tax advisor confirmed I have sufficient §38(c) capacity for the 2025 tax year.</w:t>
      </w:r>
    </w:p>
    <w:p>
      <w:pPr>
        <w:spacing w:after="100"/>
        <w:ind w:left="720"/>
        <w:jc w:val="left"/>
      </w:pPr>
      <w:r>
        <w:rPr>
          <w:rFonts w:ascii="Times New Roman" w:hAnsi="Times New Roman"/>
          <w:b w:val="0"/>
          <w:sz w:val="22"/>
        </w:rPr>
        <w:t>□  _____   I understand and accept the no re-transfer restriction under §6418(a)(2).</w:t>
      </w:r>
    </w:p>
    <w:p>
      <w:r>
        <w:br w:type="page"/>
      </w:r>
    </w:p>
    <w:p>
      <w:pPr>
        <w:spacing w:before="160" w:after="80"/>
        <w:jc w:val="center"/>
      </w:pPr>
      <w:r>
        <w:rPr>
          <w:rFonts w:ascii="Times New Roman" w:hAnsi="Times New Roman"/>
          <w:b/>
          <w:sz w:val="26"/>
        </w:rPr>
        <w:t>WIRE INSTRUCTIONS — WELCOME 1231 LLC</w:t>
      </w:r>
    </w:p>
    <w:p>
      <w:pPr>
        <w:spacing w:after="40"/>
      </w:pPr>
    </w:p>
    <w:p>
      <w:pPr>
        <w:spacing w:after="240"/>
        <w:ind w:left="720" w:right="720"/>
      </w:pPr>
      <w:r>
        <w:rPr>
          <w:rFonts w:ascii="Times New Roman" w:hAnsi="Times New Roman"/>
          <w:b/>
          <w:color w:val="C43232"/>
          <w:sz w:val="22"/>
        </w:rPr>
        <w:t>⚠  WARNING — WIRE FRAUD NOTICE: DO NOT WIRE FUNDS WITHOUT FIRST VERIFYING THESE INSTRUCTIONS BY CALLING 801-400-2916. OUR WIRE INSTRUCTIONS DO NOT CHANGE. IF YOU RECEIVE ANY COMMUNICATION ASKING YOU TO WIRE TO DIFFERENT INSTRUCTIONS, DO NOT COMPLY — CALL IMMEDIATELY.</w:t>
      </w:r>
    </w:p>
    <w:tbl>
      <w:tblPr>
        <w:tblStyle w:val="TableGrid"/>
        <w:tblW w:type="auto" w:w="0"/>
        <w:tblLook w:firstColumn="1" w:firstRow="1" w:lastColumn="0" w:lastRow="0" w:noHBand="0" w:noVBand="1" w:val="04A0"/>
      </w:tblPr>
      <w:tblGrid>
        <w:gridCol w:w="4320"/>
        <w:gridCol w:w="4320"/>
      </w:tblGrid>
      <w:tr>
        <w:tc>
          <w:tcPr>
            <w:tcW w:type="dxa" w:w="4320"/>
          </w:tcPr>
          <w:p>
            <w:r>
              <w:rPr>
                <w:rFonts w:ascii="Times New Roman" w:hAnsi="Times New Roman"/>
                <w:b/>
                <w:sz w:val="20"/>
              </w:rPr>
              <w:t>Bank Name:</w:t>
            </w:r>
          </w:p>
        </w:tc>
        <w:tc>
          <w:tcPr>
            <w:tcW w:type="dxa" w:w="4320"/>
          </w:tcPr>
          <w:p>
            <w:r>
              <w:rPr>
                <w:rFonts w:ascii="Times New Roman" w:hAnsi="Times New Roman"/>
                <w:sz w:val="20"/>
              </w:rPr>
              <w:t>Mountain America Credit Union</w:t>
            </w:r>
          </w:p>
        </w:tc>
      </w:tr>
      <w:tr>
        <w:tc>
          <w:tcPr>
            <w:tcW w:type="dxa" w:w="4320"/>
          </w:tcPr>
          <w:p>
            <w:r>
              <w:rPr>
                <w:rFonts w:ascii="Times New Roman" w:hAnsi="Times New Roman"/>
                <w:b/>
                <w:sz w:val="20"/>
              </w:rPr>
              <w:t>Bank Address:</w:t>
            </w:r>
          </w:p>
        </w:tc>
        <w:tc>
          <w:tcPr>
            <w:tcW w:type="dxa" w:w="4320"/>
          </w:tcPr>
          <w:p>
            <w:r>
              <w:rPr>
                <w:rFonts w:ascii="Times New Roman" w:hAnsi="Times New Roman"/>
                <w:sz w:val="20"/>
              </w:rPr>
              <w:t>3300 Triumph Blvd, Lehi, Utah 84043</w:t>
            </w:r>
          </w:p>
        </w:tc>
      </w:tr>
      <w:tr>
        <w:tc>
          <w:tcPr>
            <w:tcW w:type="dxa" w:w="4320"/>
          </w:tcPr>
          <w:p>
            <w:r>
              <w:rPr>
                <w:rFonts w:ascii="Times New Roman" w:hAnsi="Times New Roman"/>
                <w:b/>
                <w:sz w:val="20"/>
              </w:rPr>
              <w:t>Routing Number:</w:t>
            </w:r>
          </w:p>
        </w:tc>
        <w:tc>
          <w:tcPr>
            <w:tcW w:type="dxa" w:w="4320"/>
          </w:tcPr>
          <w:p>
            <w:r>
              <w:rPr>
                <w:rFonts w:ascii="Times New Roman" w:hAnsi="Times New Roman"/>
                <w:sz w:val="20"/>
              </w:rPr>
              <w:t>324079555</w:t>
            </w:r>
          </w:p>
        </w:tc>
      </w:tr>
      <w:tr>
        <w:tc>
          <w:tcPr>
            <w:tcW w:type="dxa" w:w="4320"/>
          </w:tcPr>
          <w:p>
            <w:r>
              <w:rPr>
                <w:rFonts w:ascii="Times New Roman" w:hAnsi="Times New Roman"/>
                <w:b/>
                <w:sz w:val="20"/>
              </w:rPr>
              <w:t>Account Name:</w:t>
            </w:r>
          </w:p>
        </w:tc>
        <w:tc>
          <w:tcPr>
            <w:tcW w:type="dxa" w:w="4320"/>
          </w:tcPr>
          <w:p>
            <w:r>
              <w:rPr>
                <w:rFonts w:ascii="Times New Roman" w:hAnsi="Times New Roman"/>
                <w:sz w:val="20"/>
              </w:rPr>
              <w:t>Welcome 1231 LLC</w:t>
            </w:r>
          </w:p>
        </w:tc>
      </w:tr>
      <w:tr>
        <w:tc>
          <w:tcPr>
            <w:tcW w:type="dxa" w:w="4320"/>
          </w:tcPr>
          <w:p>
            <w:r>
              <w:rPr>
                <w:rFonts w:ascii="Times New Roman" w:hAnsi="Times New Roman"/>
                <w:b/>
                <w:sz w:val="20"/>
              </w:rPr>
              <w:t>Account Number:</w:t>
            </w:r>
          </w:p>
        </w:tc>
        <w:tc>
          <w:tcPr>
            <w:tcW w:type="dxa" w:w="4320"/>
          </w:tcPr>
          <w:p>
            <w:r>
              <w:rPr>
                <w:rFonts w:ascii="Times New Roman" w:hAnsi="Times New Roman"/>
                <w:sz w:val="20"/>
              </w:rPr>
              <w:t>13553279</w:t>
            </w:r>
          </w:p>
        </w:tc>
      </w:tr>
      <w:tr>
        <w:tc>
          <w:tcPr>
            <w:tcW w:type="dxa" w:w="4320"/>
          </w:tcPr>
          <w:p>
            <w:r>
              <w:rPr>
                <w:rFonts w:ascii="Times New Roman" w:hAnsi="Times New Roman"/>
                <w:b/>
                <w:sz w:val="20"/>
              </w:rPr>
              <w:t>Reference:</w:t>
            </w:r>
          </w:p>
        </w:tc>
        <w:tc>
          <w:tcPr>
            <w:tcW w:type="dxa" w:w="4320"/>
          </w:tcPr>
          <w:p>
            <w:r>
              <w:rPr>
                <w:rFonts w:ascii="Times New Roman" w:hAnsi="Times New Roman"/>
                <w:sz w:val="20"/>
              </w:rPr>
              <w:t>Assignment Fee — [Your Full Legal Name]</w:t>
            </w:r>
          </w:p>
        </w:tc>
      </w:tr>
      <w:tr>
        <w:tc>
          <w:tcPr>
            <w:tcW w:type="dxa" w:w="4320"/>
          </w:tcPr>
          <w:p>
            <w:r>
              <w:rPr>
                <w:rFonts w:ascii="Times New Roman" w:hAnsi="Times New Roman"/>
                <w:b/>
                <w:sz w:val="20"/>
              </w:rPr>
              <w:t>Verify by Phone BEFORE wiring:</w:t>
            </w:r>
          </w:p>
        </w:tc>
        <w:tc>
          <w:tcPr>
            <w:tcW w:type="dxa" w:w="4320"/>
          </w:tcPr>
          <w:p>
            <w:r>
              <w:rPr>
                <w:rFonts w:ascii="Times New Roman" w:hAnsi="Times New Roman"/>
                <w:b/>
                <w:color w:val="C43232"/>
                <w:sz w:val="20"/>
              </w:rPr>
              <w:t>801-400-2916</w:t>
            </w:r>
          </w:p>
        </w:tc>
      </w:tr>
    </w:tbl>
    <w:p>
      <w:pPr>
        <w:spacing w:after="40"/>
      </w:pPr>
    </w:p>
    <w:p>
      <w:pPr>
        <w:spacing w:after="40"/>
      </w:pPr>
    </w:p>
    <w:p>
      <w:pPr>
        <w:spacing w:after="100"/>
        <w:jc w:val="center"/>
      </w:pPr>
      <w:r>
        <w:rPr>
          <w:rFonts w:ascii="Times New Roman" w:hAnsi="Times New Roman"/>
          <w:b/>
          <w:color w:val="C43232"/>
          <w:sz w:val="22"/>
        </w:rPr>
        <w:t>*** OUR WIRE INSTRUCTIONS DO NOT CHANGE. CALL 801-400-2916 BEFORE WIRING.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