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WELCOME 1231 LLC — TRANSACTION SUMMARY</w:t>
      </w:r>
      <w:r w:rsidDel="00000000" w:rsidR="00000000" w:rsidRPr="00000000">
        <w:rPr>
          <w:rtl w:val="0"/>
        </w:rPr>
      </w:r>
    </w:p>
    <w:p w:rsidR="00000000" w:rsidDel="00000000" w:rsidP="00000000" w:rsidRDefault="00000000" w:rsidRPr="00000000" w14:paraId="00000002">
      <w:pPr>
        <w:spacing w:after="280" w:lineRule="auto"/>
        <w:jc w:val="center"/>
        <w:rPr/>
      </w:pPr>
      <w:r w:rsidDel="00000000" w:rsidR="00000000" w:rsidRPr="00000000">
        <w:rPr>
          <w:rFonts w:ascii="Times New Roman" w:cs="Times New Roman" w:eastAsia="Times New Roman" w:hAnsi="Times New Roman"/>
          <w:b w:val="0"/>
          <w:bCs w:val="0"/>
          <w:i w:val="1"/>
          <w:iCs w:val="1"/>
          <w:sz w:val="20"/>
          <w:szCs w:val="20"/>
          <w:u w:val="none"/>
          <w:rtl w:val="0"/>
        </w:rPr>
        <w:t xml:space="preserve">Prepared by Utah Carbon MGR LLC  |  </w:t>
      </w:r>
      <w:r w:rsidDel="00000000" w:rsidR="00000000" w:rsidRPr="00000000">
        <w:rPr>
          <w:rFonts w:ascii="Times New Roman" w:cs="Times New Roman" w:eastAsia="Times New Roman" w:hAnsi="Times New Roman"/>
          <w:b w:val="1"/>
          <w:bCs w:val="1"/>
          <w:i w:val="1"/>
          <w:iCs w:val="1"/>
          <w:sz w:val="20"/>
          <w:szCs w:val="20"/>
          <w:u w:val="none"/>
          <w:rtl w:val="0"/>
        </w:rPr>
        <w:t xml:space="preserve">CONFIDENTIAL</w:t>
      </w:r>
      <w:r w:rsidDel="00000000" w:rsidR="00000000" w:rsidRPr="00000000">
        <w:rPr>
          <w:rFonts w:ascii="Times New Roman" w:cs="Times New Roman" w:eastAsia="Times New Roman" w:hAnsi="Times New Roman"/>
          <w:b w:val="0"/>
          <w:bCs w:val="0"/>
          <w:i w:val="1"/>
          <w:iCs w:val="1"/>
          <w:sz w:val="20"/>
          <w:szCs w:val="20"/>
          <w:u w:val="none"/>
          <w:rtl w:val="0"/>
        </w:rPr>
        <w:t xml:space="preserve">  |  Rule 506(c) of Regulation D under the Securities Act</w:t>
      </w:r>
      <w:r w:rsidDel="00000000" w:rsidR="00000000" w:rsidRPr="00000000">
        <w:rPr>
          <w:rtl w:val="0"/>
        </w:rPr>
      </w:r>
    </w:p>
    <w:p w:rsidR="00000000" w:rsidDel="00000000" w:rsidP="00000000" w:rsidRDefault="00000000" w:rsidRPr="00000000" w14:paraId="00000003">
      <w:pPr>
        <w:spacing w:after="120" w:before="8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Section 1 — Deal Overview</w:t>
      </w:r>
      <w:r w:rsidDel="00000000" w:rsidR="00000000" w:rsidRPr="00000000">
        <w:rPr>
          <w:rtl w:val="0"/>
        </w:rPr>
      </w:r>
    </w:p>
    <w:p>
      <w:r>
        <w:t xml:space="preserve">Credit Type: Section 45Q Carbon Oxide Sequestration Tax Credits  |  Vintage: 2025
Credit Seller: Dynamic Carbon Credits, LLC (Beau Parmenter, CEO — beau@offsets.credit)
Available Facility: $3,000,000 (MPA June 11, 2026) + $19,000,000 (MPA June 19, 2026) = $22,000,000 total
Volume Price (DCC to Welcome 1231): $0.70 per $1.00 of face value
Assignment Fee (Welcome 1231 to Credit Buyer): $0.85 per $1.00 of face value
Manager Spread: $0.15 per $1.00 of face value
Manager: Utah Carbon MGR LLC
Placement Agent: EstateSpace Wealth Services, LLC
506(c) Offering — General Solicitation Permitted — Accredited Investors Only — CPA Letter Required
Closing Deadline: Per individual Assignment Agreement Exhibit A</w:t>
      </w:r>
    </w:p>
    <w:tbl>
      <w:tblPr>
        <w:tblStyle w:val="Table1"/>
        <w:tblW w:w="864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d9d9d9" w:val="clear"/>
          </w:tcPr>
          <w:p w:rsidR="00000000" w:rsidDel="00000000" w:rsidP="00000000" w:rsidRDefault="00000000" w:rsidRPr="00000000" w14:paraId="00000004">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Tax Credit Type</w:t>
            </w:r>
            <w:r w:rsidDel="00000000" w:rsidR="00000000" w:rsidRPr="00000000">
              <w:rPr>
                <w:rtl w:val="0"/>
              </w:rPr>
            </w:r>
          </w:p>
        </w:tc>
        <w:tc>
          <w:tcPr/>
          <w:p w:rsidR="00000000" w:rsidDel="00000000" w:rsidP="00000000" w:rsidRDefault="00000000" w:rsidRPr="00000000" w14:paraId="0000000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§45Q Carbon Oxide Sequestration</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06">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Credit Vintage Year</w:t>
            </w:r>
            <w:r w:rsidDel="00000000" w:rsidR="00000000" w:rsidRPr="00000000">
              <w:rPr>
                <w:rtl w:val="0"/>
              </w:rPr>
            </w:r>
          </w:p>
        </w:tc>
        <w:tc>
          <w:tcPr/>
          <w:p w:rsidR="00000000" w:rsidDel="00000000" w:rsidP="00000000" w:rsidRDefault="00000000" w:rsidRPr="00000000" w14:paraId="00000007">
            <w:pPr>
              <w:spacing w:after="40" w:before="40" w:lineRule="auto"/>
              <w:jc w:val="left"/>
              <w:rPr/>
            </w:pPr>
            <w:r w:rsidDel="00000000" w:rsidR="00000000" w:rsidRPr="00000000">
              <w:rPr>
                <w:rFonts w:ascii="Times New Roman" w:cs="Times New Roman" w:eastAsia="Times New Roman" w:hAnsi="Times New Roman"/>
                <w:rtl w:val="0"/>
              </w:rPr>
              <w:t xml:space="preserve">2025</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08">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Tax Credit Seller / Project</w:t>
            </w:r>
            <w:r w:rsidDel="00000000" w:rsidR="00000000" w:rsidRPr="00000000">
              <w:rPr>
                <w:rtl w:val="0"/>
              </w:rPr>
            </w:r>
          </w:p>
        </w:tc>
        <w:tc>
          <w:tcPr/>
          <w:p w:rsidR="00000000" w:rsidDel="00000000" w:rsidP="00000000" w:rsidRDefault="00000000" w:rsidRPr="00000000" w14:paraId="0000000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[___]</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0A">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IRS Pre-Filing Reg. No.</w:t>
            </w:r>
            <w:r w:rsidDel="00000000" w:rsidR="00000000" w:rsidRPr="00000000">
              <w:rPr>
                <w:rtl w:val="0"/>
              </w:rPr>
            </w:r>
          </w:p>
        </w:tc>
        <w:tc>
          <w:tcPr/>
          <w:p w:rsidR="00000000" w:rsidDel="00000000" w:rsidP="00000000" w:rsidRDefault="00000000" w:rsidRPr="00000000" w14:paraId="0000000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[___]</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0C">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Total Credits Available</w:t>
            </w:r>
            <w:r w:rsidDel="00000000" w:rsidR="00000000" w:rsidRPr="00000000">
              <w:rPr>
                <w:rtl w:val="0"/>
              </w:rPr>
            </w:r>
          </w:p>
        </w:tc>
        <w:tc>
          <w:tcPr/>
          <w:p w:rsidR="00000000" w:rsidDel="00000000" w:rsidP="00000000" w:rsidRDefault="00000000" w:rsidRPr="00000000" w14:paraId="0000000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$[___]</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0E">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Face Value Allocated to Buyer</w:t>
            </w:r>
            <w:r w:rsidDel="00000000" w:rsidR="00000000" w:rsidRPr="00000000">
              <w:rPr>
                <w:rtl w:val="0"/>
              </w:rPr>
            </w:r>
          </w:p>
        </w:tc>
        <w:tc>
          <w:tcPr/>
          <w:p w:rsidR="00000000" w:rsidDel="00000000" w:rsidP="00000000" w:rsidRDefault="00000000" w:rsidRPr="00000000" w14:paraId="0000000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$[___]</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0">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Volume Price (cost to buyer)</w:t>
            </w:r>
            <w:r w:rsidDel="00000000" w:rsidR="00000000" w:rsidRPr="00000000">
              <w:rPr>
                <w:rtl w:val="0"/>
              </w:rPr>
            </w:r>
          </w:p>
        </w:tc>
        <w:tc>
          <w:tcPr/>
          <w:p w:rsidR="00000000" w:rsidDel="00000000" w:rsidP="00000000" w:rsidRDefault="00000000" w:rsidRPr="00000000" w14:paraId="0000001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$[___] per $1.00 face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2">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Assignment Fee (Manager)</w:t>
            </w:r>
            <w:r w:rsidDel="00000000" w:rsidR="00000000" w:rsidRPr="00000000">
              <w:rPr>
                <w:rtl w:val="0"/>
              </w:rPr>
            </w:r>
          </w:p>
        </w:tc>
        <w:tc>
          <w:tcPr/>
          <w:p w:rsidR="00000000" w:rsidDel="00000000" w:rsidP="00000000" w:rsidRDefault="00000000" w:rsidRPr="00000000" w14:paraId="0000001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$[___] per $1.00 face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4">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Manager Spread</w:t>
            </w:r>
            <w:r w:rsidDel="00000000" w:rsidR="00000000" w:rsidRPr="00000000">
              <w:rPr>
                <w:rtl w:val="0"/>
              </w:rPr>
            </w:r>
          </w:p>
        </w:tc>
        <w:tc>
          <w:tcPr/>
          <w:p w:rsidR="00000000" w:rsidDel="00000000" w:rsidP="00000000" w:rsidRDefault="00000000" w:rsidRPr="00000000" w14:paraId="0000001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$[___] per $1.00 face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6">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Minimum Purchase</w:t>
            </w:r>
            <w:r w:rsidDel="00000000" w:rsidR="00000000" w:rsidRPr="00000000">
              <w:rPr>
                <w:rtl w:val="0"/>
              </w:rPr>
            </w:r>
          </w:p>
        </w:tc>
        <w:tc>
          <w:tcPr/>
          <w:p w:rsidR="00000000" w:rsidDel="00000000" w:rsidP="00000000" w:rsidRDefault="00000000" w:rsidRPr="00000000" w14:paraId="0000001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$[___]</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8">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Expected Closing Date</w:t>
            </w:r>
            <w:r w:rsidDel="00000000" w:rsidR="00000000" w:rsidRPr="00000000">
              <w:rPr>
                <w:rtl w:val="0"/>
              </w:rPr>
            </w:r>
          </w:p>
        </w:tc>
        <w:tc>
          <w:tcPr/>
          <w:p w:rsidR="00000000" w:rsidDel="00000000" w:rsidP="00000000" w:rsidRDefault="00000000" w:rsidRPr="00000000" w14:paraId="0000001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[___]</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A">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Jurisdiction / Governing Law</w:t>
            </w:r>
            <w:r w:rsidDel="00000000" w:rsidR="00000000" w:rsidRPr="00000000">
              <w:rPr>
                <w:rtl w:val="0"/>
              </w:rPr>
            </w:r>
          </w:p>
        </w:tc>
        <w:tc>
          <w:tcPr/>
          <w:p w:rsidR="00000000" w:rsidDel="00000000" w:rsidP="00000000" w:rsidRDefault="00000000" w:rsidRPr="00000000" w14:paraId="0000001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Utah</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80" w:before="20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Section 2 — Illustrative Economics (Based on $1,000,000 Face Value)</w:t>
      </w:r>
      <w:r w:rsidDel="00000000" w:rsidR="00000000" w:rsidRPr="00000000">
        <w:rPr>
          <w:rtl w:val="0"/>
        </w:rPr>
      </w:r>
    </w:p>
    <w:p>
      <w:r>
        <w:t xml:space="preserve">ILLUSTRATIVE ECONOMICS — Multiple Scenarios (at $0.85 Assignment Fee per $1.00 face value):
  $1,000,000 face  |  Cost to Buyer: $850,000  |  Tax Savings: $150,000  |  Savings Rate: 17.6%
  $3,000,000 face  |  Cost to Buyer: $2,550,000  |  Tax Savings: $450,000  |  Savings Rate: 17.6%
  $5,000,000 face  |  Cost to Buyer: $4,250,000  |  Tax Savings: $750,000  |  Savings Rate: 17.6%
  $10,000,000 face  |  Cost to Buyer: $8,500,000  |  Tax Savings: $1,500,000  |  Savings Rate: 17.6%
  $19,000,000 face  |  Cost to Buyer: $16,150,000  |  Tax Savings: $2,850,000  |  Savings Rate: 17.6%
NOTE: 'Effective Tax Savings Rate' = Tax Savings / Assignment Fee paid. This is not an investment return. It is a permanent, immediate reduction in 2025 federal tax liability.</w:t>
      </w:r>
    </w:p>
    <w:p w:rsidR="00000000" w:rsidDel="00000000" w:rsidP="00000000" w:rsidRDefault="00000000" w:rsidRPr="00000000" w14:paraId="0000001E">
      <w:pPr>
        <w:spacing w:after="160" w:before="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The following example illustrates a representative transaction at illustrative pricing.  Actual pricing will differ and is set forth in Exhibit A of the Assignment Agreement.</w:t>
      </w:r>
      <w:r w:rsidDel="00000000" w:rsidR="00000000" w:rsidRPr="00000000">
        <w:rPr>
          <w:rtl w:val="0"/>
        </w:rPr>
      </w:r>
    </w:p>
    <w:tbl>
      <w:tblPr>
        <w:tblStyle w:val="Table2"/>
        <w:tblW w:w="864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d9d9d9" w:val="clear"/>
          </w:tcPr>
          <w:p w:rsidR="00000000" w:rsidDel="00000000" w:rsidP="00000000" w:rsidRDefault="00000000" w:rsidRPr="00000000" w14:paraId="0000001F">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Credit Face Value Purchased</w:t>
            </w:r>
            <w:r w:rsidDel="00000000" w:rsidR="00000000" w:rsidRPr="00000000">
              <w:rPr>
                <w:rtl w:val="0"/>
              </w:rPr>
            </w:r>
          </w:p>
        </w:tc>
        <w:tc>
          <w:tcPr/>
          <w:p w:rsidR="00000000" w:rsidDel="00000000" w:rsidP="00000000" w:rsidRDefault="00000000" w:rsidRPr="00000000" w14:paraId="0000002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$1,000,000</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1">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Assignment Fee Paid by Buyer</w:t>
            </w:r>
            <w:r w:rsidDel="00000000" w:rsidR="00000000" w:rsidRPr="00000000">
              <w:rPr>
                <w:rtl w:val="0"/>
              </w:rPr>
            </w:r>
          </w:p>
        </w:tc>
        <w:tc>
          <w:tcPr/>
          <w:p w:rsidR="00000000" w:rsidDel="00000000" w:rsidP="00000000" w:rsidRDefault="00000000" w:rsidRPr="00000000" w14:paraId="0000002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$870,000</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3">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Federal Tax Credit Received</w:t>
            </w:r>
            <w:r w:rsidDel="00000000" w:rsidR="00000000" w:rsidRPr="00000000">
              <w:rPr>
                <w:rtl w:val="0"/>
              </w:rPr>
            </w:r>
          </w:p>
        </w:tc>
        <w:tc>
          <w:tcPr/>
          <w:p w:rsidR="00000000" w:rsidDel="00000000" w:rsidP="00000000" w:rsidRDefault="00000000" w:rsidRPr="00000000" w14:paraId="0000002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$1,000,000</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5">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Net Cash Benefit to Buyer</w:t>
            </w:r>
            <w:r w:rsidDel="00000000" w:rsidR="00000000" w:rsidRPr="00000000">
              <w:rPr>
                <w:rtl w:val="0"/>
              </w:rPr>
            </w:r>
          </w:p>
        </w:tc>
        <w:tc>
          <w:tcPr/>
          <w:p w:rsidR="00000000" w:rsidDel="00000000" w:rsidP="00000000" w:rsidRDefault="00000000" w:rsidRPr="00000000" w14:paraId="00000026">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$130,000</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7">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Effective After-Tax Return</w:t>
            </w:r>
            <w:r w:rsidDel="00000000" w:rsidR="00000000" w:rsidRPr="00000000">
              <w:rPr>
                <w:rtl w:val="0"/>
              </w:rPr>
            </w:r>
          </w:p>
        </w:tc>
        <w:tc>
          <w:tcPr/>
          <w:p w:rsidR="00000000" w:rsidDel="00000000" w:rsidP="00000000" w:rsidRDefault="00000000" w:rsidRPr="00000000" w14:paraId="00000028">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14.9%</w:t>
            </w:r>
            <w:r w:rsidDel="00000000" w:rsidR="00000000" w:rsidRPr="00000000">
              <w:rPr>
                <w:rtl w:val="0"/>
              </w:rPr>
            </w:r>
          </w:p>
        </w:tc>
      </w:tr>
    </w:tbl>
    <w:p w:rsidR="00000000" w:rsidDel="00000000" w:rsidP="00000000" w:rsidRDefault="00000000" w:rsidRPr="00000000" w14:paraId="00000029">
      <w:pPr>
        <w:spacing w:after="200" w:before="80" w:lineRule="auto"/>
        <w:jc w:val="left"/>
        <w:rPr/>
      </w:pPr>
      <w:r w:rsidDel="00000000" w:rsidR="00000000" w:rsidRPr="00000000">
        <w:rPr>
          <w:rFonts w:ascii="Times New Roman" w:cs="Times New Roman" w:eastAsia="Times New Roman" w:hAnsi="Times New Roman"/>
          <w:b w:val="0"/>
          <w:bCs w:val="0"/>
          <w:i w:val="0"/>
          <w:iCs w:val="0"/>
          <w:sz w:val="18"/>
          <w:szCs w:val="18"/>
          <w:u w:val="none"/>
          <w:rtl w:val="0"/>
        </w:rPr>
        <w:t>Note: Net Cash Benefit = Face Value minus Assignment Fee.  Effective Tax Savings Rate = Net Cash Benefit divided by Assignment Fee.  Does not account for state tax treatment, time value of money, or alternative minimum tax.</w:t>
      </w:r>
      <w:r w:rsidDel="00000000" w:rsidR="00000000" w:rsidRPr="00000000">
        <w:rPr>
          <w:rtl w:val="0"/>
        </w:rPr>
      </w:r>
    </w:p>
    <w:p w:rsidR="00000000" w:rsidDel="00000000" w:rsidP="00000000" w:rsidRDefault="00000000" w:rsidRPr="00000000" w14:paraId="0000002A">
      <w:pPr>
        <w:spacing w:after="80" w:before="20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Section 3 — §6418 Transfer Mechanics</w:t>
      </w:r>
      <w:r w:rsidDel="00000000" w:rsidR="00000000" w:rsidRPr="00000000">
        <w:rPr>
          <w:rtl w:val="0"/>
        </w:rPr>
      </w:r>
    </w:p>
    <w:p w:rsidR="00000000" w:rsidDel="00000000" w:rsidP="00000000" w:rsidRDefault="00000000" w:rsidRPr="00000000" w14:paraId="0000002B">
      <w:pPr>
        <w:spacing w:after="100" w:before="60" w:lineRule="auto"/>
        <w:ind w:left="36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Pre-Filing Registration:  </w:t>
      </w:r>
      <w:r w:rsidDel="00000000" w:rsidR="00000000" w:rsidRPr="00000000">
        <w:rPr>
          <w:rFonts w:ascii="Times New Roman" w:cs="Times New Roman" w:eastAsia="Times New Roman" w:hAnsi="Times New Roman"/>
          <w:b w:val="0"/>
          <w:bCs w:val="0"/>
          <w:i w:val="0"/>
          <w:iCs w:val="0"/>
          <w:sz w:val="22"/>
          <w:szCs w:val="22"/>
          <w:u w:val="none"/>
          <w:rtl w:val="0"/>
        </w:rPr>
        <w:t xml:space="preserve">The Tax Credit Seller must obtain an IRS Pre-Filing Registration number for §45Q credits via the IRS Energy Credits Online portal prior to filing any return claiming the credits.  This registration number is a prerequisite to a valid §6418 transfer.</w:t>
      </w:r>
      <w:r w:rsidDel="00000000" w:rsidR="00000000" w:rsidRPr="00000000">
        <w:rPr>
          <w:rtl w:val="0"/>
        </w:rPr>
      </w:r>
    </w:p>
    <w:p w:rsidR="00000000" w:rsidDel="00000000" w:rsidP="00000000" w:rsidRDefault="00000000" w:rsidRPr="00000000" w14:paraId="0000002C">
      <w:pPr>
        <w:spacing w:after="100" w:before="60" w:lineRule="auto"/>
        <w:ind w:left="36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Transfer Election:  </w:t>
      </w:r>
      <w:r w:rsidDel="00000000" w:rsidR="00000000" w:rsidRPr="00000000">
        <w:rPr>
          <w:rFonts w:ascii="Times New Roman" w:cs="Times New Roman" w:eastAsia="Times New Roman" w:hAnsi="Times New Roman"/>
          <w:b w:val="0"/>
          <w:bCs w:val="0"/>
          <w:i w:val="0"/>
          <w:iCs w:val="0"/>
          <w:sz w:val="22"/>
          <w:szCs w:val="22"/>
          <w:u w:val="none"/>
          <w:rtl w:val="0"/>
        </w:rPr>
        <w:t xml:space="preserve">The Tax Credit Seller and Assignee must jointly complete and sign a Transfer Election statement for inclusion with the Tax Credit Seller's applicable tax return.  The election is irrevocable once filed.</w:t>
      </w:r>
      <w:r w:rsidDel="00000000" w:rsidR="00000000" w:rsidRPr="00000000">
        <w:rPr>
          <w:rtl w:val="0"/>
        </w:rPr>
      </w:r>
    </w:p>
    <w:p w:rsidR="00000000" w:rsidDel="00000000" w:rsidP="00000000" w:rsidRDefault="00000000" w:rsidRPr="00000000" w14:paraId="0000002D">
      <w:pPr>
        <w:spacing w:after="100" w:before="60" w:lineRule="auto"/>
        <w:ind w:left="36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Documents Delivered at Closing:  </w:t>
      </w:r>
      <w:r w:rsidDel="00000000" w:rsidR="00000000" w:rsidRPr="00000000">
        <w:rPr>
          <w:rFonts w:ascii="Times New Roman" w:cs="Times New Roman" w:eastAsia="Times New Roman" w:hAnsi="Times New Roman"/>
          <w:b w:val="0"/>
          <w:bCs w:val="0"/>
          <w:i w:val="0"/>
          <w:iCs w:val="0"/>
          <w:sz w:val="22"/>
          <w:szCs w:val="22"/>
          <w:u w:val="none"/>
          <w:rtl w:val="0"/>
        </w:rPr>
        <w:t xml:space="preserve">At Closing, Company will deliver: (i) executed Assignment Agreement; (ii) Transfer Election statement; (iii) IRS Pre-Filing Registration confirmation; and (iv) any project-level documentation reasonably requested by Assignee.</w:t>
      </w:r>
      <w:r w:rsidDel="00000000" w:rsidR="00000000" w:rsidRPr="00000000">
        <w:rPr>
          <w:rtl w:val="0"/>
        </w:rPr>
      </w:r>
    </w:p>
    <w:p w:rsidR="00000000" w:rsidDel="00000000" w:rsidP="00000000" w:rsidRDefault="00000000" w:rsidRPr="00000000" w14:paraId="0000002E">
      <w:pPr>
        <w:spacing w:after="100" w:before="60" w:lineRule="auto"/>
        <w:ind w:left="36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Buyer Tax Filings:  </w:t>
      </w:r>
      <w:r w:rsidDel="00000000" w:rsidR="00000000" w:rsidRPr="00000000">
        <w:rPr>
          <w:rFonts w:ascii="Times New Roman" w:cs="Times New Roman" w:eastAsia="Times New Roman" w:hAnsi="Times New Roman"/>
          <w:b w:val="0"/>
          <w:bCs w:val="0"/>
          <w:i w:val="0"/>
          <w:iCs w:val="0"/>
          <w:sz w:val="22"/>
          <w:szCs w:val="22"/>
          <w:u w:val="none"/>
          <w:rtl w:val="0"/>
        </w:rPr>
        <w:t xml:space="preserve">Assignee claims the transferred credit on its own federal income tax return using Form 8933 (Carbon Oxide Sequestration Credit) and Form 3800 (General Business Credit), attaching the Transfer Election statement and reporting the Pre-Filing Registration number.</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80" w:before="20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Section 4 — Key Risk Factors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IRS Audit / Recapture Risk: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IRS may audit the Tax Credit Seller's underlying project and disallow or recapture §45Q credits.  If credits are disallowed, Assignee may be liable for additional taxes, interest, and penalties.  There is no guarantee the credits will be sustained on audit.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Passive Activity Rules: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Buyers who are passive investors may be subject to passive activity limitations under §469, which could restrict or defer the usability of the transferred credits.  Consult your tax advisor.</w:t>
      </w:r>
      <w:r w:rsidDel="00000000" w:rsidR="00000000" w:rsidRPr="00000000">
        <w:rPr>
          <w:rtl w:val="0"/>
        </w:rPr>
      </w:r>
    </w:p>
    <w:p>
      <w:r>
        <w:t xml:space="preserve">Credit Utilization &amp; §38(c): §45Q credits transferred under §6418 are active general business credits under IRC §38 and are generally NOT subject to passive activity limitations under §469. However, the §38(c) general business credit limitation applies — credits offset regular federal income tax in excess of the tentative minimum tax. Buyers should obtain written confirmation from their CPA of available §38(c) capacity before closing.</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 Re-Sale of Credits: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Once assigned to Buyer, the Tax Credits may not be re-sold, re-transferred, or otherwise disposed of to any third party under §6418(a)(2).  The credits are permanently locked to the initial Assignee.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Legislative / Regulatory Risk: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Congress or the Treasury Department may amend, limit, or repeal the §6418 transferability provisions.  Retroactive changes, while rare, are not impossible.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K-1 / Timing Risk: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pass-through entity buyers, the timing of K-1 delivery from the Tax Credit Seller may affect when credits can be claimed on Assignee's return.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Illiquidity: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There is no secondary market for §45Q tax credits.  Assignee's investment should be considered illiquid and long-term in nature.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80" w:before="20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Section 5 — Manager Spread Disclosure</w:t>
      </w:r>
      <w:r w:rsidDel="00000000" w:rsidR="00000000" w:rsidRPr="00000000">
        <w:rPr>
          <w:rtl w:val="0"/>
        </w:rPr>
      </w:r>
    </w:p>
    <w:p>
      <w:r>
        <w:t xml:space="preserve">MPA Reference: Purchase Rights are sourced under (i) Carbon and Tax Credit Master Purchase Agreement dated June 11, 2026 — $3M facility and (ii) Carbon and Tax Credit Master Purchase Agreement dated June 19, 2026 — $19M facility, each between Welcome 1231 LLC and Dynamic Carbon Credits, LLC (Beau Parmenter, CEO). Both agreements are on file with Utah Carbon MGR LLC and available for review during the 5-business-day due diligence period. Welcome 1231 LLC receives no compensation from DCC — all compensation is derived solely from the Assignment Fee paid by Credit Buyers.</w:t>
      </w:r>
    </w:p>
    <w:p w:rsidR="00000000" w:rsidDel="00000000" w:rsidP="00000000" w:rsidRDefault="00000000" w:rsidRPr="00000000" w14:paraId="00000039">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Welcome 1231 LLC acts as principal, not as broker or agent, in these transactions.  Company acquires the Purchase Right from the Tax Credit Seller at the Volume Price and assigns it to Assignee at the Assignment Fee.  The difference between the Assignment Fee and the Volume Price constitutes the Manager Spread, which is Company's compensation for sourcing, structuring, purchasing, and assigning the Purchase Right.</w:t>
      </w:r>
      <w:r w:rsidDel="00000000" w:rsidR="00000000" w:rsidRPr="00000000">
        <w:rPr>
          <w:rtl w:val="0"/>
        </w:rPr>
      </w:r>
    </w:p>
    <w:p w:rsidR="00000000" w:rsidDel="00000000" w:rsidP="00000000" w:rsidRDefault="00000000" w:rsidRPr="00000000" w14:paraId="0000003A">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The Manager Spread is not a brokerage commission or finder's fee; it represents principal economics on a buy-resell transaction.  Company bears the risk of the Purchase Right between execution of the MPA and closing of the Assignment.</w:t>
      </w:r>
      <w:r w:rsidDel="00000000" w:rsidR="00000000" w:rsidRPr="00000000">
        <w:rPr>
          <w:rtl w:val="0"/>
        </w:rPr>
      </w:r>
    </w:p>
    <w:p w:rsidR="00000000" w:rsidDel="00000000" w:rsidP="00000000" w:rsidRDefault="00000000" w:rsidRPr="00000000" w14:paraId="0000003B">
      <w:pPr>
        <w:spacing w:after="120" w:before="80" w:lineRule="auto"/>
        <w:ind w:left="36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Illustrative Example:  </w:t>
      </w:r>
      <w:r w:rsidDel="00000000" w:rsidR="00000000" w:rsidRPr="00000000">
        <w:rPr>
          <w:rFonts w:ascii="Times New Roman" w:cs="Times New Roman" w:eastAsia="Times New Roman" w:hAnsi="Times New Roman"/>
          <w:b w:val="0"/>
          <w:bCs w:val="0"/>
          <w:i w:val="0"/>
          <w:iCs w:val="0"/>
          <w:sz w:val="22"/>
          <w:szCs w:val="22"/>
          <w:u w:val="none"/>
          <w:rtl w:val="0"/>
        </w:rPr>
        <w:t xml:space="preserve">If the Volume Price is $0.83 per $1.00 of face value and the Assignment Fee is $0.87 per $1.00 of face value, the Manager Spread is $0.04 per $1.00, equal to approximately 4.6% of face value (0.04 / 0.87 = 4.6%).</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80" w:before="20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Section 6 — No Tax or Legal Advice Disclaimer</w:t>
      </w:r>
      <w:r w:rsidDel="00000000" w:rsidR="00000000" w:rsidRPr="00000000">
        <w:rPr>
          <w:rtl w:val="0"/>
        </w:rPr>
      </w:r>
    </w:p>
    <w:p w:rsidR="00000000" w:rsidDel="00000000" w:rsidP="00000000" w:rsidRDefault="00000000" w:rsidRPr="00000000" w14:paraId="0000003E">
      <w:pPr>
        <w:spacing w:after="160" w:before="8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THIS TRANSACTION SUMMARY IS PROVIDED FOR INFORMATIONAL PURPOSES ONLY AND DOES NOT CONSTITUTE TAX ADVICE, LEGAL ADVICE, OR AN OFFER TO SELL OR SOLICITATION OF AN OFFER TO BUY ANY SECURITY OR TAX CREDIT.  W1231 MANAGEMENT LLC AND WELCOME 1231 LLC ARE NOT TAX ADVISORS, ATTORNEYS, OR REGISTERED BROKER-DEALERS.  EACH PROSPECTIVE CREDIT BUYER SHOULD CONSULT WITH ITS OWN INDEPENDENT TAX COUNSEL AND LEGAL ADVISORS BEFORE PARTICIPATING IN ANY TRANSACTION DESCRIBED HEREIN.  PAST TREATMENT OF SIMILAR TRANSACTIONS IS NOT INDICATIVE OF FUTURE RESULTS OR IRS POSITIONS.</w:t>
      </w:r>
      <w:r w:rsidDel="00000000" w:rsidR="00000000" w:rsidRPr="00000000">
        <w:rPr>
          <w:rtl w:val="0"/>
        </w:rPr>
      </w:r>
    </w:p>
    <w:p w:rsidR="00000000" w:rsidDel="00000000" w:rsidP="00000000" w:rsidRDefault="00000000" w:rsidRPr="00000000" w14:paraId="0000003F">
      <w:pPr>
        <w:spacing w:after="80" w:before="20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Section 7 — Credit Buyer Acceptance</w:t>
      </w:r>
      <w:r w:rsidDel="00000000" w:rsidR="00000000" w:rsidRPr="00000000">
        <w:rPr>
          <w:rtl w:val="0"/>
        </w:rPr>
      </w:r>
    </w:p>
    <w:p>
      <w:r>
        <w:t xml:space="preserve">BUYER MUST INITIAL ALL THREE BOXES BEFORE SIGNING:
☐ _____  I have consulted with independent tax counsel regarding my ability to utilize §45Q credits.
☐ _____  My CPA has confirmed I have sufficient §38(c) general business credit capacity to utilize the credits.
☐ _____  I understand the no re-transfer restriction under §6418(a)(2) and that these credits are permanently locked to me.
ATTACHED: Accredited Investor verification letter from my licensed CPA / attorney / RIA (dated within 90 days, confirming status under Rule 501(a) of Regulation D).</w:t>
      </w:r>
    </w:p>
    <w:p w:rsidR="00000000" w:rsidDel="00000000" w:rsidP="00000000" w:rsidRDefault="00000000" w:rsidRPr="00000000" w14:paraId="00000040">
      <w:pPr>
        <w:spacing w:after="160" w:before="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By executing below, Credit Buyer acknowledges that it has received and reviewed this Transaction Summary, has had the opportunity to ask questions, and intends to proceed with the transaction on the terms described herein and in the Assignment Agreement.</w:t>
      </w:r>
      <w:r w:rsidDel="00000000" w:rsidR="00000000" w:rsidRPr="00000000">
        <w:rPr>
          <w:rtl w:val="0"/>
        </w:rPr>
      </w:r>
    </w:p>
    <w:tbl>
      <w:tblPr>
        <w:tblStyle w:val="Table3"/>
        <w:tblW w:w="864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d9d9d9" w:val="clear"/>
          </w:tcPr>
          <w:p w:rsidR="00000000" w:rsidDel="00000000" w:rsidP="00000000" w:rsidRDefault="00000000" w:rsidRPr="00000000" w14:paraId="00000041">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Legal Name of Credit Buyer</w:t>
            </w:r>
            <w:r w:rsidDel="00000000" w:rsidR="00000000" w:rsidRPr="00000000">
              <w:rPr>
                <w:rtl w:val="0"/>
              </w:rPr>
            </w:r>
          </w:p>
        </w:tc>
        <w:tc>
          <w:tcPr/>
          <w:p w:rsidR="00000000" w:rsidDel="00000000" w:rsidP="00000000" w:rsidRDefault="00000000" w:rsidRPr="00000000" w14:paraId="0000004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[_______________________________________________]</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43">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Entity Type</w:t>
            </w:r>
            <w:r w:rsidDel="00000000" w:rsidR="00000000" w:rsidRPr="00000000">
              <w:rPr>
                <w:rtl w:val="0"/>
              </w:rPr>
            </w:r>
          </w:p>
        </w:tc>
        <w:tc>
          <w:tcPr/>
          <w:p w:rsidR="00000000" w:rsidDel="00000000" w:rsidP="00000000" w:rsidRDefault="00000000" w:rsidRPr="00000000" w14:paraId="0000004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[Corporation / LLC / Partnership / Individual]</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45">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EIN / TIN</w:t>
            </w:r>
            <w:r w:rsidDel="00000000" w:rsidR="00000000" w:rsidRPr="00000000">
              <w:rPr>
                <w:rtl w:val="0"/>
              </w:rPr>
            </w:r>
          </w:p>
        </w:tc>
        <w:tc>
          <w:tcPr/>
          <w:p w:rsidR="00000000" w:rsidDel="00000000" w:rsidP="00000000" w:rsidRDefault="00000000" w:rsidRPr="00000000" w14:paraId="0000004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[_______________________________________________]</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47">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Estimated Tax Liability (Year)</w:t>
            </w:r>
            <w:r w:rsidDel="00000000" w:rsidR="00000000" w:rsidRPr="00000000">
              <w:rPr>
                <w:rtl w:val="0"/>
              </w:rPr>
            </w:r>
          </w:p>
        </w:tc>
        <w:tc>
          <w:tcPr/>
          <w:p w:rsidR="00000000" w:rsidDel="00000000" w:rsidP="00000000" w:rsidRDefault="00000000" w:rsidRPr="00000000" w14:paraId="0000004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$[_______________]</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49">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Face Value Requested</w:t>
            </w:r>
            <w:r w:rsidDel="00000000" w:rsidR="00000000" w:rsidRPr="00000000">
              <w:rPr>
                <w:rtl w:val="0"/>
              </w:rPr>
            </w:r>
          </w:p>
        </w:tc>
        <w:tc>
          <w:tcPr/>
          <w:p w:rsidR="00000000" w:rsidDel="00000000" w:rsidP="00000000" w:rsidRDefault="00000000" w:rsidRPr="00000000" w14:paraId="0000004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$[_______________]</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4B">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Contact / Signing Officer</w:t>
            </w:r>
            <w:r w:rsidDel="00000000" w:rsidR="00000000" w:rsidRPr="00000000">
              <w:rPr>
                <w:rtl w:val="0"/>
              </w:rPr>
            </w:r>
          </w:p>
        </w:tc>
        <w:tc>
          <w:tcPr/>
          <w:p w:rsidR="00000000" w:rsidDel="00000000" w:rsidP="00000000" w:rsidRDefault="00000000" w:rsidRPr="00000000" w14:paraId="0000004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[_______________________________________________]</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4D">
            <w:pPr>
              <w:spacing w:after="40" w:before="40" w:lineRule="auto"/>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Email / Phone</w:t>
            </w:r>
            <w:r w:rsidDel="00000000" w:rsidR="00000000" w:rsidRPr="00000000">
              <w:rPr>
                <w:rtl w:val="0"/>
              </w:rPr>
            </w:r>
          </w:p>
        </w:tc>
        <w:tc>
          <w:tcPr/>
          <w:p w:rsidR="00000000" w:rsidDel="00000000" w:rsidP="00000000" w:rsidRDefault="00000000" w:rsidRPr="00000000" w14:paraId="0000004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[_______________________________________________]</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80" w:before="16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Signature:  _____________________________________     Date:  __________________</w:t>
      </w:r>
      <w:r w:rsidDel="00000000" w:rsidR="00000000" w:rsidRPr="00000000">
        <w:rPr>
          <w:rtl w:val="0"/>
        </w:rPr>
      </w:r>
    </w:p>
    <w:p w:rsidR="00000000" w:rsidDel="00000000" w:rsidP="00000000" w:rsidRDefault="00000000" w:rsidRPr="00000000" w14:paraId="00000051">
      <w:pPr>
        <w:spacing w:after="480" w:before="80" w:lineRule="auto"/>
        <w:jc w:val="left"/>
        <w:rPr/>
      </w:pPr>
      <w:r w:rsidDel="00000000" w:rsidR="00000000" w:rsidRPr="00000000">
        <w:rPr>
          <w:rFonts w:ascii="Times New Roman" w:cs="Times New Roman" w:eastAsia="Times New Roman" w:hAnsi="Times New Roman"/>
          <w:b w:val="0"/>
          <w:bCs w:val="0"/>
          <w:i w:val="0"/>
          <w:iCs w:val="0"/>
          <w:sz w:val="22"/>
          <w:szCs w:val="22"/>
          <w:u w:val="none"/>
          <w:rtl w:val="0"/>
        </w:rPr>
        <w:t xml:space="preserve">Print Name:  ____________________________________     Title: __________________</w:t>
      </w:r>
      <w:r w:rsidDel="00000000" w:rsidR="00000000" w:rsidRPr="00000000">
        <w:rPr>
          <w:rtl w:val="0"/>
        </w:rPr>
      </w:r>
    </w:p>
    <w:sectPr>
      <w:footerReference r:id="rId6" w:type="default"/>
      <w:pgSz w:h="15840" w:w="12240" w:orient="portrait"/>
      <w:pgMar w:bottom="1800" w:top="180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This offering is made pursuant to Section 4(a)(2) of the Securities Act of 1933 to a limited number of sophisticated investors.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