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90724" w14:textId="77777777" w:rsidR="00FC664D" w:rsidRPr="00A84528" w:rsidRDefault="00FC664D" w:rsidP="0006368D">
      <w:pPr>
        <w:ind w:left="-113"/>
        <w:jc w:val="both"/>
        <w:rPr>
          <w:rFonts w:ascii="Verdana" w:hAnsi="Verdana"/>
          <w:sz w:val="18"/>
          <w:szCs w:val="18"/>
        </w:rPr>
      </w:pPr>
    </w:p>
    <w:p w14:paraId="31D39B2A" w14:textId="77777777" w:rsidR="00FC664D" w:rsidRPr="00A84528" w:rsidRDefault="00FC664D" w:rsidP="0006368D">
      <w:pPr>
        <w:ind w:left="-113"/>
        <w:jc w:val="both"/>
        <w:rPr>
          <w:rFonts w:ascii="Verdana" w:hAnsi="Verdana"/>
          <w:sz w:val="18"/>
          <w:szCs w:val="18"/>
        </w:rPr>
      </w:pPr>
    </w:p>
    <w:p w14:paraId="1DF45EBF" w14:textId="77777777" w:rsidR="00FC664D" w:rsidRPr="00A84528" w:rsidRDefault="00FC664D" w:rsidP="00D77257">
      <w:pPr>
        <w:jc w:val="both"/>
        <w:rPr>
          <w:rFonts w:ascii="Verdana" w:hAnsi="Verdana"/>
          <w:sz w:val="18"/>
          <w:szCs w:val="18"/>
        </w:rPr>
      </w:pPr>
    </w:p>
    <w:p w14:paraId="42E3799D" w14:textId="77777777" w:rsidR="00FC664D" w:rsidRPr="00A84528" w:rsidRDefault="00FC664D" w:rsidP="0006368D">
      <w:pPr>
        <w:tabs>
          <w:tab w:val="left" w:pos="6804"/>
        </w:tabs>
        <w:ind w:left="-113"/>
        <w:jc w:val="both"/>
        <w:rPr>
          <w:rFonts w:ascii="Verdana" w:hAnsi="Verdana"/>
          <w:sz w:val="18"/>
          <w:szCs w:val="18"/>
        </w:rPr>
      </w:pPr>
    </w:p>
    <w:p w14:paraId="2BBD46AA" w14:textId="77777777" w:rsidR="008B1A7A" w:rsidRDefault="008B1A7A" w:rsidP="00701CD8">
      <w:pPr>
        <w:rPr>
          <w:rFonts w:asciiTheme="minorHAnsi" w:hAnsiTheme="minorHAnsi"/>
          <w:lang w:val="fr-FR"/>
        </w:rPr>
      </w:pPr>
    </w:p>
    <w:p w14:paraId="4184ADEB" w14:textId="77777777" w:rsidR="004E52F9" w:rsidRDefault="004E52F9" w:rsidP="00701CD8">
      <w:pPr>
        <w:rPr>
          <w:rFonts w:asciiTheme="minorHAnsi" w:hAnsiTheme="minorHAnsi"/>
          <w:sz w:val="20"/>
          <w:szCs w:val="20"/>
          <w:lang w:val="fr-FR"/>
        </w:rPr>
      </w:pPr>
    </w:p>
    <w:p w14:paraId="174CBE4E" w14:textId="77777777" w:rsidR="00701CD8" w:rsidRPr="00382B58" w:rsidRDefault="00E93B24" w:rsidP="00701CD8">
      <w:pPr>
        <w:rPr>
          <w:rFonts w:asciiTheme="minorHAnsi" w:hAnsiTheme="minorHAnsi"/>
          <w:sz w:val="20"/>
          <w:szCs w:val="20"/>
          <w:lang w:val="fr-FR"/>
        </w:rPr>
      </w:pPr>
      <w:r w:rsidRPr="00382B58">
        <w:rPr>
          <w:rFonts w:asciiTheme="minorHAnsi" w:hAnsiTheme="minorHAnsi"/>
          <w:sz w:val="20"/>
          <w:szCs w:val="20"/>
          <w:lang w:val="fr-FR"/>
        </w:rPr>
        <w:t>Communiqué de presse</w:t>
      </w:r>
    </w:p>
    <w:p w14:paraId="762D61F1" w14:textId="77777777" w:rsidR="005F6DB7" w:rsidRPr="00382B58" w:rsidRDefault="005F6DB7" w:rsidP="00701CD8">
      <w:pPr>
        <w:rPr>
          <w:rFonts w:asciiTheme="minorHAnsi" w:hAnsiTheme="minorHAnsi"/>
          <w:sz w:val="20"/>
          <w:szCs w:val="20"/>
          <w:lang w:val="fr-FR"/>
        </w:rPr>
      </w:pPr>
      <w:r w:rsidRPr="00382B58">
        <w:rPr>
          <w:rFonts w:asciiTheme="minorHAnsi" w:hAnsiTheme="minorHAnsi"/>
          <w:sz w:val="20"/>
          <w:szCs w:val="20"/>
          <w:lang w:val="fr-FR"/>
        </w:rPr>
        <w:t xml:space="preserve">Levallois-Perret, </w:t>
      </w:r>
      <w:r w:rsidR="00B2619E" w:rsidRPr="00382B58">
        <w:rPr>
          <w:rFonts w:asciiTheme="minorHAnsi" w:hAnsiTheme="minorHAnsi"/>
          <w:sz w:val="20"/>
          <w:szCs w:val="20"/>
          <w:lang w:val="fr-FR"/>
        </w:rPr>
        <w:t>25 avril</w:t>
      </w:r>
      <w:r w:rsidR="000B073D" w:rsidRPr="00382B58">
        <w:rPr>
          <w:rFonts w:asciiTheme="minorHAnsi" w:hAnsiTheme="minorHAnsi"/>
          <w:sz w:val="20"/>
          <w:szCs w:val="20"/>
          <w:lang w:val="fr-FR"/>
        </w:rPr>
        <w:t xml:space="preserve"> 2016</w:t>
      </w:r>
    </w:p>
    <w:p w14:paraId="46134FD0" w14:textId="77777777" w:rsidR="00A87373" w:rsidRDefault="00A87373" w:rsidP="00EE6126">
      <w:pPr>
        <w:jc w:val="center"/>
        <w:rPr>
          <w:rStyle w:val="lev"/>
          <w:rFonts w:asciiTheme="minorHAnsi" w:hAnsiTheme="minorHAnsi" w:cs="Arial"/>
          <w:sz w:val="32"/>
          <w:szCs w:val="32"/>
          <w:lang w:val="fr-FR"/>
        </w:rPr>
      </w:pPr>
    </w:p>
    <w:p w14:paraId="6DE9C2BD" w14:textId="77777777" w:rsidR="005F6DB7" w:rsidRPr="007F1D34" w:rsidRDefault="00352B8C" w:rsidP="00676743">
      <w:pPr>
        <w:jc w:val="center"/>
        <w:rPr>
          <w:rStyle w:val="lev"/>
          <w:rFonts w:asciiTheme="minorHAnsi" w:hAnsiTheme="minorHAnsi" w:cs="Arial"/>
          <w:sz w:val="32"/>
          <w:szCs w:val="32"/>
          <w:lang w:val="fr-FR"/>
        </w:rPr>
      </w:pPr>
      <w:r>
        <w:rPr>
          <w:rStyle w:val="lev"/>
          <w:rFonts w:asciiTheme="minorHAnsi" w:hAnsiTheme="minorHAnsi" w:cs="Arial"/>
          <w:sz w:val="32"/>
          <w:szCs w:val="32"/>
          <w:lang w:val="fr-FR"/>
        </w:rPr>
        <w:t>Résultats BinckBank</w:t>
      </w:r>
      <w:r w:rsidR="00C2055F">
        <w:rPr>
          <w:rStyle w:val="lev"/>
          <w:rFonts w:asciiTheme="minorHAnsi" w:hAnsiTheme="minorHAnsi" w:cs="Arial"/>
          <w:sz w:val="32"/>
          <w:szCs w:val="32"/>
          <w:lang w:val="fr-FR"/>
        </w:rPr>
        <w:t> :</w:t>
      </w:r>
      <w:r w:rsidR="00676743">
        <w:rPr>
          <w:rStyle w:val="lev"/>
          <w:rFonts w:asciiTheme="minorHAnsi" w:hAnsiTheme="minorHAnsi" w:cs="Arial"/>
          <w:sz w:val="32"/>
          <w:szCs w:val="32"/>
          <w:lang w:val="fr-FR"/>
        </w:rPr>
        <w:t xml:space="preserve"> l</w:t>
      </w:r>
      <w:r w:rsidR="00301C91">
        <w:rPr>
          <w:rStyle w:val="lev"/>
          <w:rFonts w:asciiTheme="minorHAnsi" w:hAnsiTheme="minorHAnsi" w:cs="Arial"/>
          <w:sz w:val="32"/>
          <w:szCs w:val="32"/>
          <w:lang w:val="fr-FR"/>
        </w:rPr>
        <w:t xml:space="preserve">e groupe BinckBank annonce </w:t>
      </w:r>
      <w:r w:rsidR="00C2055F">
        <w:rPr>
          <w:rStyle w:val="lev"/>
          <w:rFonts w:asciiTheme="minorHAnsi" w:hAnsiTheme="minorHAnsi" w:cs="Arial"/>
          <w:sz w:val="32"/>
          <w:szCs w:val="32"/>
          <w:lang w:val="fr-FR"/>
        </w:rPr>
        <w:t>u</w:t>
      </w:r>
      <w:r>
        <w:rPr>
          <w:rStyle w:val="lev"/>
          <w:rFonts w:asciiTheme="minorHAnsi" w:hAnsiTheme="minorHAnsi" w:cs="Arial"/>
          <w:sz w:val="32"/>
          <w:szCs w:val="32"/>
          <w:lang w:val="fr-FR"/>
        </w:rPr>
        <w:t>n</w:t>
      </w:r>
      <w:r w:rsidR="00EE6126">
        <w:rPr>
          <w:rStyle w:val="lev"/>
          <w:rFonts w:asciiTheme="minorHAnsi" w:hAnsiTheme="minorHAnsi" w:cs="Arial"/>
          <w:sz w:val="32"/>
          <w:szCs w:val="32"/>
          <w:lang w:val="fr-FR"/>
        </w:rPr>
        <w:t xml:space="preserve"> </w:t>
      </w:r>
      <w:r w:rsidR="00EE6126" w:rsidRPr="007F1D34">
        <w:rPr>
          <w:rStyle w:val="lev"/>
          <w:rFonts w:asciiTheme="minorHAnsi" w:hAnsiTheme="minorHAnsi" w:cs="Arial"/>
          <w:sz w:val="32"/>
          <w:szCs w:val="32"/>
          <w:lang w:val="fr-FR"/>
        </w:rPr>
        <w:t>bénéfice net ajusté</w:t>
      </w:r>
      <w:r>
        <w:rPr>
          <w:rStyle w:val="lev"/>
          <w:rFonts w:asciiTheme="minorHAnsi" w:hAnsiTheme="minorHAnsi" w:cs="Arial"/>
          <w:sz w:val="32"/>
          <w:szCs w:val="32"/>
          <w:lang w:val="fr-FR"/>
        </w:rPr>
        <w:t xml:space="preserve"> de</w:t>
      </w:r>
      <w:r w:rsidR="00DE479F">
        <w:rPr>
          <w:rStyle w:val="lev"/>
          <w:rFonts w:asciiTheme="minorHAnsi" w:hAnsiTheme="minorHAnsi" w:cs="Arial"/>
          <w:sz w:val="32"/>
          <w:szCs w:val="32"/>
          <w:lang w:val="fr-FR"/>
        </w:rPr>
        <w:t> </w:t>
      </w:r>
      <w:r w:rsidR="00DE479F" w:rsidRPr="00DE479F">
        <w:rPr>
          <w:rStyle w:val="lev"/>
          <w:rFonts w:asciiTheme="minorHAnsi" w:hAnsiTheme="minorHAnsi" w:cs="Arial"/>
          <w:sz w:val="32"/>
          <w:szCs w:val="32"/>
          <w:lang w:val="fr-FR"/>
        </w:rPr>
        <w:t>8,5</w:t>
      </w:r>
      <w:r w:rsidR="00F16D43">
        <w:rPr>
          <w:rStyle w:val="lev"/>
          <w:rFonts w:asciiTheme="minorHAnsi" w:hAnsiTheme="minorHAnsi" w:cs="Arial"/>
          <w:sz w:val="32"/>
          <w:szCs w:val="32"/>
          <w:lang w:val="fr-FR"/>
        </w:rPr>
        <w:t xml:space="preserve"> </w:t>
      </w:r>
      <w:r w:rsidR="00EE6126">
        <w:rPr>
          <w:rStyle w:val="lev"/>
          <w:rFonts w:asciiTheme="minorHAnsi" w:hAnsiTheme="minorHAnsi" w:cs="Arial"/>
          <w:sz w:val="32"/>
          <w:szCs w:val="32"/>
          <w:lang w:val="fr-FR"/>
        </w:rPr>
        <w:t>millions</w:t>
      </w:r>
      <w:r>
        <w:rPr>
          <w:rStyle w:val="lev"/>
          <w:rFonts w:asciiTheme="minorHAnsi" w:hAnsiTheme="minorHAnsi" w:cs="Arial"/>
          <w:sz w:val="32"/>
          <w:szCs w:val="32"/>
          <w:lang w:val="fr-FR"/>
        </w:rPr>
        <w:t xml:space="preserve"> d’euros pour </w:t>
      </w:r>
      <w:r w:rsidR="00B2619E">
        <w:rPr>
          <w:rStyle w:val="lev"/>
          <w:rFonts w:asciiTheme="minorHAnsi" w:hAnsiTheme="minorHAnsi" w:cs="Arial"/>
          <w:sz w:val="32"/>
          <w:szCs w:val="32"/>
          <w:lang w:val="fr-FR"/>
        </w:rPr>
        <w:t>le 1</w:t>
      </w:r>
      <w:r w:rsidR="00B2619E" w:rsidRPr="00B2619E">
        <w:rPr>
          <w:rStyle w:val="lev"/>
          <w:rFonts w:asciiTheme="minorHAnsi" w:hAnsiTheme="minorHAnsi" w:cs="Arial"/>
          <w:sz w:val="32"/>
          <w:szCs w:val="32"/>
          <w:vertAlign w:val="superscript"/>
          <w:lang w:val="fr-FR"/>
        </w:rPr>
        <w:t>er</w:t>
      </w:r>
      <w:r w:rsidR="00B2619E">
        <w:rPr>
          <w:rStyle w:val="lev"/>
          <w:rFonts w:asciiTheme="minorHAnsi" w:hAnsiTheme="minorHAnsi" w:cs="Arial"/>
          <w:sz w:val="32"/>
          <w:szCs w:val="32"/>
          <w:lang w:val="fr-FR"/>
        </w:rPr>
        <w:t xml:space="preserve"> trimestre 2016</w:t>
      </w:r>
    </w:p>
    <w:p w14:paraId="3BE0C73E" w14:textId="77777777" w:rsidR="005F6DB7" w:rsidRDefault="005F6DB7" w:rsidP="005F6DB7">
      <w:pPr>
        <w:rPr>
          <w:rStyle w:val="lev"/>
          <w:rFonts w:asciiTheme="minorHAnsi" w:hAnsiTheme="minorHAnsi" w:cs="Arial"/>
          <w:lang w:val="fr-FR"/>
        </w:rPr>
      </w:pPr>
    </w:p>
    <w:p w14:paraId="2BD68998" w14:textId="4B3C7B31" w:rsidR="001B235B" w:rsidRPr="002F240F" w:rsidRDefault="00645133" w:rsidP="008B1A7A">
      <w:pPr>
        <w:spacing w:line="276" w:lineRule="auto"/>
        <w:rPr>
          <w:rStyle w:val="lev"/>
          <w:rFonts w:asciiTheme="minorHAnsi" w:hAnsiTheme="minorHAnsi" w:cs="Arial"/>
          <w:sz w:val="26"/>
          <w:szCs w:val="26"/>
          <w:lang w:val="fr-FR"/>
        </w:rPr>
      </w:pPr>
      <w:r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. </w:t>
      </w:r>
      <w:r w:rsidR="00870110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+6</w:t>
      </w:r>
      <w:r w:rsidR="00352B8C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% de transactions exécutées</w:t>
      </w:r>
      <w:r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870110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au T1 2016</w:t>
      </w:r>
      <w:r w:rsidR="00B6238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983DEB">
        <w:rPr>
          <w:rStyle w:val="lev"/>
          <w:rFonts w:asciiTheme="minorHAnsi" w:hAnsiTheme="minorHAnsi" w:cs="Arial"/>
          <w:sz w:val="26"/>
          <w:szCs w:val="26"/>
          <w:lang w:val="fr-FR"/>
        </w:rPr>
        <w:t>:</w:t>
      </w:r>
      <w:r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870110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2,1</w:t>
      </w:r>
      <w:r w:rsidR="00352B8C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millions </w:t>
      </w:r>
      <w:r w:rsidR="00980A75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(</w:t>
      </w:r>
      <w:r w:rsidR="00870110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2 millions au T4 2015)</w:t>
      </w:r>
    </w:p>
    <w:p w14:paraId="606964B5" w14:textId="6A4ED1E0" w:rsidR="00664455" w:rsidRPr="002F240F" w:rsidRDefault="003B7707" w:rsidP="008B1A7A">
      <w:pPr>
        <w:spacing w:line="276" w:lineRule="auto"/>
        <w:rPr>
          <w:rStyle w:val="lev"/>
          <w:rFonts w:asciiTheme="minorHAnsi" w:hAnsiTheme="minorHAnsi" w:cs="Arial"/>
          <w:sz w:val="26"/>
          <w:szCs w:val="26"/>
          <w:lang w:val="fr-FR"/>
        </w:rPr>
      </w:pPr>
      <w:r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. </w:t>
      </w:r>
      <w:r w:rsidR="00352B8C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Les actifs sou</w:t>
      </w:r>
      <w:r w:rsidR="00645133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s gestion ont </w:t>
      </w:r>
      <w:r w:rsidR="004C5F2F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baissé de 2</w:t>
      </w:r>
      <w:r w:rsidR="00645133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%</w:t>
      </w:r>
      <w:r w:rsidR="004C5F2F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 au T1 2016</w:t>
      </w:r>
      <w:r w:rsidR="00B6238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4C5F2F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:</w:t>
      </w:r>
      <w:r w:rsidR="00645133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352B8C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20</w:t>
      </w:r>
      <w:r w:rsidR="004C5F2F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,2 milliards (20</w:t>
      </w:r>
      <w:r w:rsidR="00352B8C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,5 milliards </w:t>
      </w:r>
      <w:r w:rsidR="002F240F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au T4 2015</w:t>
      </w:r>
      <w:r w:rsidR="00352B8C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)</w:t>
      </w:r>
      <w:r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</w:p>
    <w:p w14:paraId="46496173" w14:textId="142E549E" w:rsidR="00794337" w:rsidRPr="002F240F" w:rsidRDefault="00645133" w:rsidP="008B1A7A">
      <w:pPr>
        <w:spacing w:line="276" w:lineRule="auto"/>
        <w:rPr>
          <w:rFonts w:asciiTheme="minorHAnsi" w:hAnsiTheme="minorHAnsi" w:cs="Arial"/>
          <w:b/>
          <w:bCs/>
          <w:sz w:val="26"/>
          <w:szCs w:val="26"/>
          <w:lang w:val="fr-FR"/>
        </w:rPr>
      </w:pPr>
      <w:r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. Le revenu total issu de</w:t>
      </w:r>
      <w:r w:rsidR="00716D05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s</w:t>
      </w:r>
      <w:r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716D05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activités d’exploitation a </w:t>
      </w:r>
      <w:r w:rsidR="00145E6D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baissé</w:t>
      </w:r>
      <w:r w:rsidR="00716D05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145E6D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de 8% </w:t>
      </w:r>
      <w:r w:rsidR="00983DEB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au T1 2016</w:t>
      </w:r>
      <w:r w:rsidR="005069B5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</w:t>
      </w:r>
      <w:r w:rsidR="00145E6D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: 36,7</w:t>
      </w:r>
      <w:r w:rsidR="00716D05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millions </w:t>
      </w:r>
      <w:r w:rsidR="00983DEB">
        <w:rPr>
          <w:rStyle w:val="lev"/>
          <w:rFonts w:asciiTheme="minorHAnsi" w:hAnsiTheme="minorHAnsi" w:cs="Arial"/>
          <w:sz w:val="26"/>
          <w:szCs w:val="26"/>
          <w:lang w:val="fr-FR"/>
        </w:rPr>
        <w:t>(</w:t>
      </w:r>
      <w:r w:rsidR="00145E6D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39,8</w:t>
      </w:r>
      <w:r w:rsidR="00716D05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 xml:space="preserve"> millions </w:t>
      </w:r>
      <w:r w:rsidR="00145E6D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au T4 2015</w:t>
      </w:r>
      <w:r w:rsidR="00716D05" w:rsidRPr="002F240F">
        <w:rPr>
          <w:rStyle w:val="lev"/>
          <w:rFonts w:asciiTheme="minorHAnsi" w:hAnsiTheme="minorHAnsi" w:cs="Arial"/>
          <w:sz w:val="26"/>
          <w:szCs w:val="26"/>
          <w:lang w:val="fr-FR"/>
        </w:rPr>
        <w:t>)</w:t>
      </w:r>
    </w:p>
    <w:p w14:paraId="082C4F9F" w14:textId="77777777" w:rsidR="00C2055F" w:rsidRPr="00F010F4" w:rsidRDefault="00C2055F" w:rsidP="00637D2C">
      <w:pPr>
        <w:jc w:val="both"/>
        <w:rPr>
          <w:rFonts w:asciiTheme="minorHAnsi" w:hAnsiTheme="minorHAnsi"/>
          <w:b/>
          <w:sz w:val="20"/>
          <w:szCs w:val="20"/>
          <w:lang w:val="fr-FR"/>
        </w:rPr>
      </w:pPr>
    </w:p>
    <w:p w14:paraId="63B4F9A8" w14:textId="40D6B34A" w:rsidR="004E52F9" w:rsidRPr="00C2055F" w:rsidRDefault="00C54C59" w:rsidP="00F65805">
      <w:pPr>
        <w:jc w:val="both"/>
        <w:rPr>
          <w:rFonts w:asciiTheme="minorHAnsi" w:hAnsiTheme="minorHAnsi"/>
          <w:b/>
          <w:u w:val="single"/>
          <w:lang w:val="fr-FR"/>
        </w:rPr>
      </w:pPr>
      <w:r w:rsidRPr="00C2055F">
        <w:rPr>
          <w:rStyle w:val="lev"/>
          <w:rFonts w:asciiTheme="minorHAnsi" w:hAnsiTheme="minorHAnsi" w:cs="Arial"/>
          <w:u w:val="single"/>
          <w:lang w:val="fr-FR"/>
        </w:rPr>
        <w:t xml:space="preserve">Chiffres-clés du groupe </w:t>
      </w:r>
      <w:r w:rsidRPr="00C2055F">
        <w:rPr>
          <w:rFonts w:asciiTheme="minorHAnsi" w:hAnsiTheme="minorHAnsi"/>
          <w:b/>
          <w:u w:val="single"/>
          <w:lang w:val="fr-FR"/>
        </w:rPr>
        <w:t>BinckBank</w:t>
      </w:r>
    </w:p>
    <w:p w14:paraId="56AA06DB" w14:textId="55E7E1D9" w:rsidR="00D57BC7" w:rsidRPr="00FF0279" w:rsidRDefault="00716D05" w:rsidP="00176D6B">
      <w:pPr>
        <w:pStyle w:val="Standard"/>
        <w:jc w:val="both"/>
        <w:rPr>
          <w:rFonts w:asciiTheme="minorHAnsi" w:hAnsiTheme="minorHAnsi" w:cs="Arial"/>
          <w:i/>
          <w:lang w:val="fr-FR"/>
        </w:rPr>
      </w:pPr>
      <w:r w:rsidRPr="00FF0279">
        <w:rPr>
          <w:rFonts w:asciiTheme="minorHAnsi" w:hAnsiTheme="minorHAnsi" w:cs="Arial"/>
          <w:i/>
          <w:lang w:val="fr-FR"/>
        </w:rPr>
        <w:t>«</w:t>
      </w:r>
      <w:r w:rsidR="002F240F" w:rsidRPr="00FF0279">
        <w:rPr>
          <w:rFonts w:asciiTheme="minorHAnsi" w:hAnsiTheme="minorHAnsi" w:cs="Arial"/>
          <w:i/>
          <w:lang w:val="fr-FR"/>
        </w:rPr>
        <w:t>Bien que le nombre de transactions au 1</w:t>
      </w:r>
      <w:r w:rsidR="002F240F" w:rsidRPr="00FF0279">
        <w:rPr>
          <w:rFonts w:asciiTheme="minorHAnsi" w:hAnsiTheme="minorHAnsi" w:cs="Arial"/>
          <w:i/>
          <w:vertAlign w:val="superscript"/>
          <w:lang w:val="fr-FR"/>
        </w:rPr>
        <w:t>er</w:t>
      </w:r>
      <w:r w:rsidR="002F240F" w:rsidRPr="00FF0279">
        <w:rPr>
          <w:rFonts w:asciiTheme="minorHAnsi" w:hAnsiTheme="minorHAnsi" w:cs="Arial"/>
          <w:i/>
          <w:lang w:val="fr-FR"/>
        </w:rPr>
        <w:t xml:space="preserve"> trimestre 2016 ait au</w:t>
      </w:r>
      <w:r w:rsidR="00D57BC7" w:rsidRPr="00FF0279">
        <w:rPr>
          <w:rFonts w:asciiTheme="minorHAnsi" w:hAnsiTheme="minorHAnsi" w:cs="Arial"/>
          <w:i/>
          <w:lang w:val="fr-FR"/>
        </w:rPr>
        <w:t>gmenté de 6% par rapport au 4</w:t>
      </w:r>
      <w:r w:rsidR="00D57BC7" w:rsidRPr="00FF0279">
        <w:rPr>
          <w:rFonts w:asciiTheme="minorHAnsi" w:hAnsiTheme="minorHAnsi" w:cs="Arial"/>
          <w:i/>
          <w:vertAlign w:val="superscript"/>
          <w:lang w:val="fr-FR"/>
        </w:rPr>
        <w:t>ème</w:t>
      </w:r>
      <w:r w:rsidR="00D57BC7" w:rsidRPr="00FF0279">
        <w:rPr>
          <w:rFonts w:asciiTheme="minorHAnsi" w:hAnsiTheme="minorHAnsi" w:cs="Arial"/>
          <w:i/>
          <w:lang w:val="fr-FR"/>
        </w:rPr>
        <w:t xml:space="preserve"> </w:t>
      </w:r>
      <w:r w:rsidR="002F240F" w:rsidRPr="00FF0279">
        <w:rPr>
          <w:rFonts w:asciiTheme="minorHAnsi" w:hAnsiTheme="minorHAnsi" w:cs="Arial"/>
          <w:i/>
          <w:lang w:val="fr-FR"/>
        </w:rPr>
        <w:t>trimestre de l’année dernière, il reste en dessous du niveau atteint au 1</w:t>
      </w:r>
      <w:r w:rsidR="002F240F" w:rsidRPr="00FF0279">
        <w:rPr>
          <w:rFonts w:asciiTheme="minorHAnsi" w:hAnsiTheme="minorHAnsi" w:cs="Arial"/>
          <w:i/>
          <w:vertAlign w:val="superscript"/>
          <w:lang w:val="fr-FR"/>
        </w:rPr>
        <w:t>er</w:t>
      </w:r>
      <w:r w:rsidR="002F240F" w:rsidRPr="00FF0279">
        <w:rPr>
          <w:rFonts w:asciiTheme="minorHAnsi" w:hAnsiTheme="minorHAnsi" w:cs="Arial"/>
          <w:i/>
          <w:lang w:val="fr-FR"/>
        </w:rPr>
        <w:t xml:space="preserve"> trimestre 2015</w:t>
      </w:r>
      <w:r w:rsidR="002F6B58" w:rsidRPr="00FF0279">
        <w:rPr>
          <w:rFonts w:asciiTheme="minorHAnsi" w:hAnsiTheme="minorHAnsi" w:cs="Arial"/>
          <w:i/>
          <w:lang w:val="fr-FR"/>
        </w:rPr>
        <w:t>.</w:t>
      </w:r>
      <w:r w:rsidR="00D57BC7" w:rsidRPr="00FF0279">
        <w:rPr>
          <w:rFonts w:asciiTheme="minorHAnsi" w:hAnsiTheme="minorHAnsi" w:cs="Arial"/>
          <w:i/>
          <w:lang w:val="fr-FR"/>
        </w:rPr>
        <w:t xml:space="preserve"> Le début d’année 2016 </w:t>
      </w:r>
      <w:r w:rsidR="00176D6B" w:rsidRPr="00FF0279">
        <w:rPr>
          <w:rFonts w:asciiTheme="minorHAnsi" w:hAnsiTheme="minorHAnsi" w:cs="Arial"/>
          <w:i/>
          <w:lang w:val="fr-FR"/>
        </w:rPr>
        <w:t xml:space="preserve">pour les marchés boursiers </w:t>
      </w:r>
      <w:r w:rsidR="00D57BC7" w:rsidRPr="00FF0279">
        <w:rPr>
          <w:rFonts w:asciiTheme="minorHAnsi" w:hAnsiTheme="minorHAnsi" w:cs="Arial"/>
          <w:i/>
          <w:lang w:val="fr-FR"/>
        </w:rPr>
        <w:t xml:space="preserve">a été </w:t>
      </w:r>
      <w:r w:rsidR="00176D6B" w:rsidRPr="00FF0279">
        <w:rPr>
          <w:rFonts w:asciiTheme="minorHAnsi" w:hAnsiTheme="minorHAnsi" w:cs="Arial"/>
          <w:i/>
          <w:lang w:val="fr-FR"/>
        </w:rPr>
        <w:t xml:space="preserve">marqué par des </w:t>
      </w:r>
      <w:r w:rsidR="00D57BC7" w:rsidRPr="00FF0279">
        <w:rPr>
          <w:rFonts w:asciiTheme="minorHAnsi" w:hAnsiTheme="minorHAnsi" w:cs="Arial"/>
          <w:i/>
          <w:lang w:val="fr-FR"/>
        </w:rPr>
        <w:t>incertitude</w:t>
      </w:r>
      <w:r w:rsidR="00176D6B" w:rsidRPr="00FF0279">
        <w:rPr>
          <w:rFonts w:asciiTheme="minorHAnsi" w:hAnsiTheme="minorHAnsi" w:cs="Arial"/>
          <w:i/>
          <w:lang w:val="fr-FR"/>
        </w:rPr>
        <w:t>s, l</w:t>
      </w:r>
      <w:r w:rsidR="00D57BC7" w:rsidRPr="00FF0279">
        <w:rPr>
          <w:rFonts w:asciiTheme="minorHAnsi" w:hAnsiTheme="minorHAnsi" w:cs="Arial"/>
          <w:i/>
          <w:lang w:val="fr-FR"/>
        </w:rPr>
        <w:t xml:space="preserve">es investisseurs </w:t>
      </w:r>
      <w:r w:rsidR="00176D6B" w:rsidRPr="00FF0279">
        <w:rPr>
          <w:rFonts w:asciiTheme="minorHAnsi" w:hAnsiTheme="minorHAnsi" w:cs="Arial"/>
          <w:i/>
          <w:lang w:val="fr-FR"/>
        </w:rPr>
        <w:t>sont</w:t>
      </w:r>
      <w:r w:rsidR="00D57BC7" w:rsidRPr="00FF0279">
        <w:rPr>
          <w:rFonts w:asciiTheme="minorHAnsi" w:hAnsiTheme="minorHAnsi" w:cs="Arial"/>
          <w:i/>
          <w:lang w:val="fr-FR"/>
        </w:rPr>
        <w:t xml:space="preserve"> </w:t>
      </w:r>
      <w:r w:rsidR="00176D6B" w:rsidRPr="00FF0279">
        <w:rPr>
          <w:rFonts w:asciiTheme="minorHAnsi" w:hAnsiTheme="minorHAnsi" w:cs="Arial"/>
          <w:i/>
          <w:lang w:val="fr-FR"/>
        </w:rPr>
        <w:t>restés</w:t>
      </w:r>
      <w:r w:rsidR="00D57BC7" w:rsidRPr="00FF0279">
        <w:rPr>
          <w:rFonts w:asciiTheme="minorHAnsi" w:hAnsiTheme="minorHAnsi" w:cs="Arial"/>
          <w:i/>
          <w:lang w:val="fr-FR"/>
        </w:rPr>
        <w:t xml:space="preserve"> </w:t>
      </w:r>
      <w:r w:rsidR="00176D6B" w:rsidRPr="00FF0279">
        <w:rPr>
          <w:rFonts w:asciiTheme="minorHAnsi" w:hAnsiTheme="minorHAnsi" w:cs="Arial"/>
          <w:i/>
          <w:lang w:val="fr-FR"/>
        </w:rPr>
        <w:t xml:space="preserve">prudents </w:t>
      </w:r>
      <w:r w:rsidR="00D57BC7" w:rsidRPr="00FF0279">
        <w:rPr>
          <w:rFonts w:asciiTheme="minorHAnsi" w:hAnsiTheme="minorHAnsi" w:cs="Arial"/>
          <w:i/>
          <w:lang w:val="fr-FR"/>
        </w:rPr>
        <w:t>depuis l'automne 2015, ce qui a entraîné une baisse des volumes de transactions</w:t>
      </w:r>
      <w:r w:rsidR="00176D6B" w:rsidRPr="00FF0279">
        <w:rPr>
          <w:rFonts w:asciiTheme="minorHAnsi" w:hAnsiTheme="minorHAnsi" w:cs="Arial"/>
          <w:i/>
          <w:lang w:val="fr-FR"/>
        </w:rPr>
        <w:t xml:space="preserve">, des ordres moins </w:t>
      </w:r>
      <w:r w:rsidR="00DA75A7" w:rsidRPr="00FF0279">
        <w:rPr>
          <w:rFonts w:asciiTheme="minorHAnsi" w:hAnsiTheme="minorHAnsi" w:cs="Arial"/>
          <w:i/>
          <w:lang w:val="fr-FR"/>
        </w:rPr>
        <w:t>élevés</w:t>
      </w:r>
      <w:r w:rsidR="00176D6B" w:rsidRPr="00FF0279">
        <w:rPr>
          <w:rFonts w:asciiTheme="minorHAnsi" w:hAnsiTheme="minorHAnsi" w:cs="Arial"/>
          <w:i/>
          <w:lang w:val="fr-FR"/>
        </w:rPr>
        <w:t xml:space="preserve"> et par conséquent une baisse du revenu moyen par </w:t>
      </w:r>
      <w:r w:rsidR="00FF0279" w:rsidRPr="00FF0279">
        <w:rPr>
          <w:rFonts w:asciiTheme="minorHAnsi" w:hAnsiTheme="minorHAnsi" w:cs="Arial"/>
          <w:i/>
          <w:lang w:val="fr-FR"/>
        </w:rPr>
        <w:t>transaction</w:t>
      </w:r>
      <w:r w:rsidR="00176D6B" w:rsidRPr="00FF0279">
        <w:rPr>
          <w:rFonts w:asciiTheme="minorHAnsi" w:hAnsiTheme="minorHAnsi" w:cs="Arial"/>
          <w:i/>
          <w:lang w:val="fr-FR"/>
        </w:rPr>
        <w:t>.</w:t>
      </w:r>
      <w:r w:rsidR="00FF0279" w:rsidRPr="00FF0279">
        <w:rPr>
          <w:rFonts w:asciiTheme="minorHAnsi" w:hAnsiTheme="minorHAnsi" w:cs="Arial"/>
          <w:i/>
          <w:lang w:val="fr-FR"/>
        </w:rPr>
        <w:t>»</w:t>
      </w:r>
      <w:r w:rsidR="00FF0279" w:rsidRPr="00FF0279">
        <w:rPr>
          <w:rFonts w:asciiTheme="minorHAnsi" w:hAnsiTheme="minorHAnsi" w:cs="Arial"/>
          <w:lang w:val="fr-FR"/>
        </w:rPr>
        <w:t xml:space="preserve"> commente Vincent Germyns, CEO du Groupe BinckBank</w:t>
      </w:r>
      <w:bookmarkStart w:id="0" w:name="_GoBack"/>
      <w:bookmarkEnd w:id="0"/>
      <w:r w:rsidR="00046DE2">
        <w:rPr>
          <w:rFonts w:asciiTheme="minorHAnsi" w:hAnsiTheme="minorHAnsi" w:cs="Arial"/>
          <w:lang w:val="fr-FR"/>
        </w:rPr>
        <w:t>.</w:t>
      </w:r>
    </w:p>
    <w:p w14:paraId="7881854D" w14:textId="495CBF3B" w:rsidR="00C2055F" w:rsidRPr="00FF0279" w:rsidRDefault="002F6B58" w:rsidP="00F65805">
      <w:pPr>
        <w:pStyle w:val="Standard"/>
        <w:jc w:val="both"/>
        <w:rPr>
          <w:rFonts w:asciiTheme="minorHAnsi" w:hAnsiTheme="minorHAnsi" w:cs="Arial"/>
          <w:lang w:val="fr-FR"/>
        </w:rPr>
      </w:pPr>
      <w:r w:rsidRPr="00FF0279">
        <w:rPr>
          <w:rFonts w:asciiTheme="minorHAnsi" w:hAnsiTheme="minorHAnsi" w:cs="Arial"/>
          <w:lang w:val="fr-FR"/>
        </w:rPr>
        <w:t>2015 a été une année de transition pour BinckBank</w:t>
      </w:r>
      <w:r w:rsidR="00FF0279" w:rsidRPr="00FF0279">
        <w:rPr>
          <w:rFonts w:asciiTheme="minorHAnsi" w:hAnsiTheme="minorHAnsi" w:cs="Arial"/>
          <w:lang w:val="fr-FR"/>
        </w:rPr>
        <w:t>, le groupe continue</w:t>
      </w:r>
      <w:r w:rsidR="00872945" w:rsidRPr="00FF0279">
        <w:rPr>
          <w:rFonts w:asciiTheme="minorHAnsi" w:hAnsiTheme="minorHAnsi" w:cs="Arial"/>
          <w:lang w:val="fr-FR"/>
        </w:rPr>
        <w:t xml:space="preserve"> </w:t>
      </w:r>
      <w:r w:rsidR="00FF0279" w:rsidRPr="00FF0279">
        <w:rPr>
          <w:rFonts w:asciiTheme="minorHAnsi" w:hAnsiTheme="minorHAnsi" w:cs="Arial"/>
          <w:lang w:val="fr-FR"/>
        </w:rPr>
        <w:t>de</w:t>
      </w:r>
      <w:r w:rsidR="00872945" w:rsidRPr="00FF0279">
        <w:rPr>
          <w:rFonts w:asciiTheme="minorHAnsi" w:hAnsiTheme="minorHAnsi" w:cs="Arial"/>
          <w:lang w:val="fr-FR"/>
        </w:rPr>
        <w:t xml:space="preserve"> travailler sur le déploiement de </w:t>
      </w:r>
      <w:r w:rsidR="00FF0279" w:rsidRPr="00FF0279">
        <w:rPr>
          <w:rFonts w:asciiTheme="minorHAnsi" w:hAnsiTheme="minorHAnsi" w:cs="Arial"/>
          <w:lang w:val="fr-FR"/>
        </w:rPr>
        <w:t xml:space="preserve">sa </w:t>
      </w:r>
      <w:r w:rsidR="00872945" w:rsidRPr="00FF0279">
        <w:rPr>
          <w:rFonts w:asciiTheme="minorHAnsi" w:hAnsiTheme="minorHAnsi" w:cs="Arial"/>
          <w:lang w:val="fr-FR"/>
        </w:rPr>
        <w:t xml:space="preserve">nouvelle stratégie en 2016 afin de </w:t>
      </w:r>
      <w:r w:rsidR="00FF0279" w:rsidRPr="00FF0279">
        <w:rPr>
          <w:rFonts w:asciiTheme="minorHAnsi" w:hAnsiTheme="minorHAnsi" w:cs="Arial"/>
          <w:lang w:val="fr-FR"/>
        </w:rPr>
        <w:t>se</w:t>
      </w:r>
      <w:r w:rsidRPr="00FF0279">
        <w:rPr>
          <w:rFonts w:asciiTheme="minorHAnsi" w:hAnsiTheme="minorHAnsi" w:cs="Arial"/>
          <w:lang w:val="fr-FR"/>
        </w:rPr>
        <w:t xml:space="preserve"> diriger vers une nouvelle vague de croissance</w:t>
      </w:r>
      <w:r w:rsidR="00FF0279" w:rsidRPr="00FF0279">
        <w:rPr>
          <w:rFonts w:asciiTheme="minorHAnsi" w:hAnsiTheme="minorHAnsi" w:cs="Arial"/>
          <w:lang w:val="fr-FR"/>
        </w:rPr>
        <w:t xml:space="preserve"> par le lancement de nouveaux produits et services.</w:t>
      </w:r>
      <w:r w:rsidRPr="00FF0279">
        <w:rPr>
          <w:rFonts w:asciiTheme="minorHAnsi" w:hAnsiTheme="minorHAnsi" w:cs="Arial"/>
          <w:lang w:val="fr-FR"/>
        </w:rPr>
        <w:t xml:space="preserve"> </w:t>
      </w:r>
    </w:p>
    <w:p w14:paraId="1BE3C094" w14:textId="77777777" w:rsidR="00382B58" w:rsidRPr="00B26366" w:rsidRDefault="00382B58" w:rsidP="008B1A7A">
      <w:pPr>
        <w:pStyle w:val="Standard"/>
        <w:jc w:val="both"/>
        <w:rPr>
          <w:rFonts w:asciiTheme="minorHAnsi" w:hAnsiTheme="minorHAnsi" w:cs="Arial"/>
          <w:i/>
          <w:lang w:val="fr-FR"/>
        </w:rPr>
      </w:pPr>
    </w:p>
    <w:tbl>
      <w:tblPr>
        <w:tblW w:w="9133" w:type="dxa"/>
        <w:jc w:val="center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1400"/>
        <w:gridCol w:w="1483"/>
        <w:gridCol w:w="1384"/>
        <w:gridCol w:w="1066"/>
        <w:gridCol w:w="950"/>
      </w:tblGrid>
      <w:tr w:rsidR="00C5546C" w:rsidRPr="007C100D" w14:paraId="2C538F9A" w14:textId="77777777" w:rsidTr="00830953">
        <w:trPr>
          <w:jc w:val="center"/>
        </w:trPr>
        <w:tc>
          <w:tcPr>
            <w:tcW w:w="2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ACEF" w14:textId="77777777" w:rsidR="00C5546C" w:rsidRPr="007C100D" w:rsidRDefault="00C5546C" w:rsidP="008B1A7A">
            <w:pPr>
              <w:pStyle w:val="Standard"/>
              <w:jc w:val="both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lang w:val="fr-FR"/>
              </w:rPr>
              <w:t>BINCKBANK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0505" w14:textId="77777777" w:rsidR="00C5546C" w:rsidRPr="007C100D" w:rsidRDefault="00F70087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B2619E">
              <w:rPr>
                <w:rFonts w:asciiTheme="minorHAnsi" w:hAnsiTheme="minorHAnsi"/>
                <w:b/>
                <w:lang w:val="fr-FR"/>
              </w:rPr>
              <w:t>1</w:t>
            </w:r>
            <w:r w:rsidR="00093E10">
              <w:rPr>
                <w:rFonts w:asciiTheme="minorHAnsi" w:hAnsiTheme="minorHAnsi"/>
                <w:b/>
                <w:lang w:val="fr-FR"/>
              </w:rPr>
              <w:t xml:space="preserve"> </w:t>
            </w:r>
            <w:r w:rsidRPr="007C100D">
              <w:rPr>
                <w:rFonts w:asciiTheme="minorHAnsi" w:hAnsiTheme="minorHAnsi"/>
                <w:b/>
                <w:lang w:val="fr-FR"/>
              </w:rPr>
              <w:t>201</w:t>
            </w:r>
            <w:r w:rsidR="00B2619E">
              <w:rPr>
                <w:rFonts w:asciiTheme="minorHAnsi" w:hAnsiTheme="minorHAnsi"/>
                <w:b/>
                <w:lang w:val="fr-FR"/>
              </w:rPr>
              <w:t>6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F7380" w14:textId="77777777" w:rsidR="00C5546C" w:rsidRPr="007C100D" w:rsidRDefault="00F70087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B2619E">
              <w:rPr>
                <w:rFonts w:asciiTheme="minorHAnsi" w:hAnsiTheme="minorHAnsi"/>
                <w:b/>
                <w:lang w:val="fr-FR"/>
              </w:rPr>
              <w:t>4</w:t>
            </w:r>
            <w:r w:rsidRPr="007C100D">
              <w:rPr>
                <w:rFonts w:asciiTheme="minorHAnsi" w:hAnsiTheme="minorHAnsi"/>
                <w:b/>
                <w:lang w:val="fr-FR"/>
              </w:rPr>
              <w:t xml:space="preserve"> 201</w:t>
            </w:r>
            <w:r w:rsidR="00400D37">
              <w:rPr>
                <w:rFonts w:asciiTheme="minorHAnsi" w:hAnsiTheme="minorHAnsi"/>
                <w:b/>
                <w:lang w:val="fr-FR"/>
              </w:rPr>
              <w:t>5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B185" w14:textId="77777777" w:rsidR="00C5546C" w:rsidRPr="007C100D" w:rsidRDefault="00F70087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B2619E">
              <w:rPr>
                <w:rFonts w:asciiTheme="minorHAnsi" w:hAnsiTheme="minorHAnsi"/>
                <w:b/>
                <w:lang w:val="fr-FR"/>
              </w:rPr>
              <w:t>1</w:t>
            </w:r>
            <w:r w:rsidRPr="007C100D">
              <w:rPr>
                <w:rFonts w:asciiTheme="minorHAnsi" w:hAnsiTheme="minorHAnsi"/>
                <w:b/>
                <w:lang w:val="fr-FR"/>
              </w:rPr>
              <w:t xml:space="preserve"> 201</w:t>
            </w:r>
            <w:r w:rsidR="00B2619E">
              <w:rPr>
                <w:rFonts w:asciiTheme="minorHAnsi" w:hAnsiTheme="minorHAnsi"/>
                <w:b/>
                <w:lang w:val="fr-FR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D01C1" w14:textId="77777777" w:rsidR="00C5546C" w:rsidRPr="007C100D" w:rsidRDefault="00A805C7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="Wingdings 3" w:hAnsi="Wingdings 3"/>
                <w:b/>
                <w:lang w:val="fr-FR"/>
              </w:rPr>
              <w:t></w:t>
            </w:r>
            <w:r w:rsidR="00C5546C"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B2619E">
              <w:rPr>
                <w:rFonts w:asciiTheme="minorHAnsi" w:hAnsiTheme="minorHAnsi"/>
                <w:b/>
                <w:lang w:val="fr-FR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F2B4" w14:textId="77777777" w:rsidR="00C5546C" w:rsidRPr="007C100D" w:rsidRDefault="00A805C7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="Wingdings 3" w:hAnsi="Wingdings 3"/>
                <w:b/>
                <w:lang w:val="fr-FR"/>
              </w:rPr>
              <w:t></w:t>
            </w:r>
            <w:r w:rsidR="00C5546C"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B2619E">
              <w:rPr>
                <w:rFonts w:asciiTheme="minorHAnsi" w:hAnsiTheme="minorHAnsi"/>
                <w:b/>
                <w:lang w:val="fr-FR"/>
              </w:rPr>
              <w:t>1</w:t>
            </w:r>
          </w:p>
        </w:tc>
      </w:tr>
      <w:tr w:rsidR="004045B5" w:rsidRPr="007C100D" w14:paraId="2DA466C3" w14:textId="77777777" w:rsidTr="00830953">
        <w:trPr>
          <w:jc w:val="center"/>
        </w:trPr>
        <w:tc>
          <w:tcPr>
            <w:tcW w:w="2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C0DF" w14:textId="77777777" w:rsidR="004045B5" w:rsidRPr="007C100D" w:rsidRDefault="004045B5" w:rsidP="008B1A7A">
            <w:pPr>
              <w:pStyle w:val="Standard"/>
              <w:jc w:val="both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lang w:val="fr-FR"/>
              </w:rPr>
              <w:t>Nombre de comptes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DEC9" w14:textId="77777777" w:rsidR="004045B5" w:rsidRPr="00DE479F" w:rsidRDefault="00DE479F" w:rsidP="008B1A7A">
            <w:pPr>
              <w:pStyle w:val="Standard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610 553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292" w14:textId="77777777" w:rsidR="004045B5" w:rsidRPr="007C100D" w:rsidRDefault="00B2619E" w:rsidP="008B1A7A">
            <w:pPr>
              <w:pStyle w:val="Standard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606 514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2DBB" w14:textId="77777777" w:rsidR="004045B5" w:rsidRPr="007C100D" w:rsidRDefault="00E41F05" w:rsidP="008B1A7A">
            <w:pPr>
              <w:pStyle w:val="Standard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598 946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83C98" w14:textId="77777777" w:rsidR="004045B5" w:rsidRPr="00DE479F" w:rsidRDefault="00DE479F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FR"/>
              </w:rPr>
              <w:t>+1</w:t>
            </w:r>
            <w:r w:rsidR="004045B5" w:rsidRPr="00DE479F">
              <w:rPr>
                <w:rFonts w:asciiTheme="minorHAnsi" w:hAnsiTheme="minorHAnsi"/>
                <w:lang w:val="fr-FR"/>
              </w:rPr>
              <w:t>%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96F01" w14:textId="77777777" w:rsidR="004045B5" w:rsidRPr="00DE479F" w:rsidRDefault="004045B5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DE479F">
              <w:rPr>
                <w:rFonts w:asciiTheme="minorHAnsi" w:hAnsiTheme="minorHAnsi"/>
                <w:b/>
                <w:lang w:val="fr-FR"/>
              </w:rPr>
              <w:t>+2%</w:t>
            </w:r>
          </w:p>
        </w:tc>
      </w:tr>
      <w:tr w:rsidR="004045B5" w:rsidRPr="007C100D" w14:paraId="6FCABFEC" w14:textId="77777777" w:rsidTr="00830953">
        <w:trPr>
          <w:jc w:val="center"/>
        </w:trPr>
        <w:tc>
          <w:tcPr>
            <w:tcW w:w="2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701D0" w14:textId="77777777" w:rsidR="004045B5" w:rsidRPr="007C100D" w:rsidRDefault="004045B5" w:rsidP="008B1A7A">
            <w:pPr>
              <w:pStyle w:val="Standard"/>
              <w:jc w:val="both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lang w:val="fr-FR"/>
              </w:rPr>
              <w:t>Nombre de transactions</w:t>
            </w:r>
          </w:p>
        </w:tc>
        <w:tc>
          <w:tcPr>
            <w:tcW w:w="1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D3A2B" w14:textId="77777777" w:rsidR="004045B5" w:rsidRPr="00DE479F" w:rsidRDefault="00DE479F" w:rsidP="008B1A7A">
            <w:pPr>
              <w:pStyle w:val="Standard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2 124 167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D4089" w14:textId="77777777" w:rsidR="004045B5" w:rsidRPr="007C100D" w:rsidRDefault="00B2619E" w:rsidP="008B1A7A">
            <w:pPr>
              <w:pStyle w:val="Standard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2 001 203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1BB77" w14:textId="77777777" w:rsidR="004045B5" w:rsidRPr="007C100D" w:rsidRDefault="00E41F05" w:rsidP="008B1A7A">
            <w:pPr>
              <w:pStyle w:val="Standard"/>
              <w:jc w:val="center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2 745 236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179CE" w14:textId="77777777" w:rsidR="004045B5" w:rsidRPr="00DE479F" w:rsidRDefault="00DE479F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FR"/>
              </w:rPr>
              <w:t>+6</w:t>
            </w:r>
            <w:r w:rsidR="004045B5" w:rsidRPr="00DE479F">
              <w:rPr>
                <w:rFonts w:asciiTheme="minorHAnsi" w:hAnsiTheme="minorHAnsi"/>
                <w:lang w:val="fr-FR"/>
              </w:rPr>
              <w:t>%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AA8CE" w14:textId="77777777" w:rsidR="004045B5" w:rsidRPr="00DE479F" w:rsidRDefault="00DE479F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fr-FR"/>
              </w:rPr>
              <w:t>-23</w:t>
            </w:r>
            <w:r w:rsidR="004045B5" w:rsidRPr="00DE479F">
              <w:rPr>
                <w:rFonts w:asciiTheme="minorHAnsi" w:hAnsiTheme="minorHAnsi"/>
                <w:b/>
                <w:lang w:val="fr-FR"/>
              </w:rPr>
              <w:t>%</w:t>
            </w:r>
          </w:p>
        </w:tc>
      </w:tr>
    </w:tbl>
    <w:p w14:paraId="30DA8B62" w14:textId="77777777" w:rsidR="004E52F9" w:rsidRDefault="004E52F9" w:rsidP="00F65805">
      <w:pPr>
        <w:pStyle w:val="Standard"/>
        <w:jc w:val="both"/>
        <w:rPr>
          <w:rStyle w:val="lev"/>
          <w:rFonts w:asciiTheme="minorHAnsi" w:hAnsiTheme="minorHAnsi" w:cs="Arial"/>
          <w:u w:val="single"/>
          <w:lang w:val="fr-FR"/>
        </w:rPr>
      </w:pPr>
    </w:p>
    <w:p w14:paraId="5B30A68A" w14:textId="062126B5" w:rsidR="004E52F9" w:rsidRPr="00C2055F" w:rsidRDefault="00664455" w:rsidP="00F65805">
      <w:pPr>
        <w:pStyle w:val="Standard"/>
        <w:jc w:val="both"/>
        <w:rPr>
          <w:rFonts w:asciiTheme="minorHAnsi" w:hAnsiTheme="minorHAnsi"/>
          <w:b/>
          <w:u w:val="single"/>
          <w:lang w:val="fr-FR"/>
        </w:rPr>
      </w:pPr>
      <w:r w:rsidRPr="00C2055F">
        <w:rPr>
          <w:rStyle w:val="lev"/>
          <w:rFonts w:asciiTheme="minorHAnsi" w:hAnsiTheme="minorHAnsi" w:cs="Arial"/>
          <w:u w:val="single"/>
          <w:lang w:val="fr-FR"/>
        </w:rPr>
        <w:t xml:space="preserve">Chiffres-clés </w:t>
      </w:r>
      <w:r w:rsidRPr="00C2055F">
        <w:rPr>
          <w:rFonts w:asciiTheme="minorHAnsi" w:hAnsiTheme="minorHAnsi"/>
          <w:b/>
          <w:u w:val="single"/>
          <w:lang w:val="fr-FR"/>
        </w:rPr>
        <w:t xml:space="preserve">Binck </w:t>
      </w:r>
      <w:r w:rsidR="004E52F9">
        <w:rPr>
          <w:rFonts w:asciiTheme="minorHAnsi" w:hAnsiTheme="minorHAnsi"/>
          <w:b/>
          <w:u w:val="single"/>
          <w:lang w:val="fr-FR"/>
        </w:rPr>
        <w:t>France</w:t>
      </w:r>
    </w:p>
    <w:p w14:paraId="354604F4" w14:textId="10215A0B" w:rsidR="00F9732A" w:rsidRDefault="00301C91" w:rsidP="00F65805">
      <w:pPr>
        <w:pStyle w:val="Standard"/>
        <w:ind w:right="-1"/>
        <w:jc w:val="both"/>
        <w:rPr>
          <w:rFonts w:asciiTheme="minorHAnsi" w:hAnsiTheme="minorHAnsi"/>
          <w:lang w:val="fr-FR"/>
        </w:rPr>
      </w:pPr>
      <w:r w:rsidRPr="00B26366">
        <w:rPr>
          <w:rFonts w:asciiTheme="minorHAnsi" w:hAnsiTheme="minorHAnsi"/>
          <w:lang w:val="fr-FR"/>
        </w:rPr>
        <w:t xml:space="preserve">Au premier trimestre 2016, la </w:t>
      </w:r>
      <w:r w:rsidR="009622B2">
        <w:rPr>
          <w:rFonts w:asciiTheme="minorHAnsi" w:hAnsiTheme="minorHAnsi"/>
          <w:lang w:val="fr-FR"/>
        </w:rPr>
        <w:t xml:space="preserve">succursale française a exécuté </w:t>
      </w:r>
      <w:r w:rsidR="00DE479F">
        <w:rPr>
          <w:rFonts w:asciiTheme="minorHAnsi" w:hAnsiTheme="minorHAnsi"/>
          <w:lang w:val="fr-FR"/>
        </w:rPr>
        <w:t>263 239</w:t>
      </w:r>
      <w:r w:rsidRPr="00B26366">
        <w:rPr>
          <w:rFonts w:asciiTheme="minorHAnsi" w:hAnsiTheme="minorHAnsi"/>
          <w:lang w:val="fr-FR"/>
        </w:rPr>
        <w:t xml:space="preserve"> </w:t>
      </w:r>
      <w:r w:rsidR="00577A5B" w:rsidRPr="00B26366">
        <w:rPr>
          <w:rFonts w:asciiTheme="minorHAnsi" w:hAnsiTheme="minorHAnsi"/>
          <w:lang w:val="fr-FR"/>
        </w:rPr>
        <w:t xml:space="preserve">transactions </w:t>
      </w:r>
      <w:r w:rsidRPr="00B26366">
        <w:rPr>
          <w:rFonts w:asciiTheme="minorHAnsi" w:hAnsiTheme="minorHAnsi"/>
          <w:lang w:val="fr-FR"/>
        </w:rPr>
        <w:t>et</w:t>
      </w:r>
      <w:r w:rsidR="00577A5B" w:rsidRPr="00B26366">
        <w:rPr>
          <w:rFonts w:asciiTheme="minorHAnsi" w:hAnsiTheme="minorHAnsi"/>
          <w:lang w:val="fr-FR"/>
        </w:rPr>
        <w:t xml:space="preserve"> enregistre</w:t>
      </w:r>
      <w:r w:rsidRPr="00B26366">
        <w:rPr>
          <w:rFonts w:asciiTheme="minorHAnsi" w:hAnsiTheme="minorHAnsi"/>
          <w:lang w:val="fr-FR"/>
        </w:rPr>
        <w:t xml:space="preserve"> un total de</w:t>
      </w:r>
      <w:r w:rsidR="00577A5B" w:rsidRPr="00B26366">
        <w:rPr>
          <w:rFonts w:asciiTheme="minorHAnsi" w:hAnsiTheme="minorHAnsi"/>
          <w:lang w:val="fr-FR"/>
        </w:rPr>
        <w:t xml:space="preserve"> </w:t>
      </w:r>
      <w:r w:rsidR="00DE479F">
        <w:rPr>
          <w:rFonts w:asciiTheme="minorHAnsi" w:hAnsiTheme="minorHAnsi"/>
          <w:lang w:val="fr-FR"/>
        </w:rPr>
        <w:t>52 919</w:t>
      </w:r>
      <w:r w:rsidRPr="00B26366">
        <w:rPr>
          <w:rFonts w:asciiTheme="minorHAnsi" w:hAnsiTheme="minorHAnsi"/>
          <w:lang w:val="fr-FR"/>
        </w:rPr>
        <w:t xml:space="preserve"> comptes bourse (compte-titres ordinaire, </w:t>
      </w:r>
      <w:r w:rsidR="003D08FF" w:rsidRPr="00B26366">
        <w:rPr>
          <w:rFonts w:asciiTheme="minorHAnsi" w:hAnsiTheme="minorHAnsi"/>
          <w:lang w:val="fr-FR"/>
        </w:rPr>
        <w:t>PEA</w:t>
      </w:r>
      <w:r w:rsidRPr="00B26366">
        <w:rPr>
          <w:rFonts w:asciiTheme="minorHAnsi" w:hAnsiTheme="minorHAnsi"/>
          <w:lang w:val="fr-FR"/>
        </w:rPr>
        <w:t xml:space="preserve"> et PEA PME</w:t>
      </w:r>
      <w:r w:rsidR="003D08FF" w:rsidRPr="00B26366">
        <w:rPr>
          <w:rFonts w:asciiTheme="minorHAnsi" w:hAnsiTheme="minorHAnsi"/>
          <w:lang w:val="fr-FR"/>
        </w:rPr>
        <w:t>).</w:t>
      </w:r>
      <w:r w:rsidR="003D08FF" w:rsidRPr="00B26366">
        <w:rPr>
          <w:lang w:val="fr-FR"/>
        </w:rPr>
        <w:t xml:space="preserve"> </w:t>
      </w:r>
      <w:r w:rsidR="00B85D13" w:rsidRPr="00B26366">
        <w:rPr>
          <w:rFonts w:asciiTheme="minorHAnsi" w:hAnsiTheme="minorHAnsi"/>
          <w:lang w:val="fr-FR"/>
        </w:rPr>
        <w:t xml:space="preserve">En </w:t>
      </w:r>
      <w:r w:rsidRPr="00B26366">
        <w:rPr>
          <w:rFonts w:asciiTheme="minorHAnsi" w:hAnsiTheme="minorHAnsi"/>
          <w:lang w:val="fr-FR"/>
        </w:rPr>
        <w:t xml:space="preserve">début d’année </w:t>
      </w:r>
      <w:r w:rsidR="00B85D13" w:rsidRPr="00B26366">
        <w:rPr>
          <w:rFonts w:asciiTheme="minorHAnsi" w:hAnsiTheme="minorHAnsi"/>
          <w:lang w:val="fr-FR"/>
        </w:rPr>
        <w:t xml:space="preserve">2016, le site Binck.fr </w:t>
      </w:r>
      <w:r w:rsidRPr="00B26366">
        <w:rPr>
          <w:rFonts w:asciiTheme="minorHAnsi" w:hAnsiTheme="minorHAnsi"/>
          <w:lang w:val="fr-FR"/>
        </w:rPr>
        <w:t xml:space="preserve">a </w:t>
      </w:r>
      <w:r w:rsidR="00B26366" w:rsidRPr="00B26366">
        <w:rPr>
          <w:rFonts w:asciiTheme="minorHAnsi" w:hAnsiTheme="minorHAnsi"/>
          <w:lang w:val="fr-FR"/>
        </w:rPr>
        <w:t>rejoint</w:t>
      </w:r>
      <w:r w:rsidR="00B85D13" w:rsidRPr="00B26366">
        <w:rPr>
          <w:rFonts w:asciiTheme="minorHAnsi" w:hAnsiTheme="minorHAnsi"/>
          <w:lang w:val="fr-FR"/>
        </w:rPr>
        <w:t xml:space="preserve"> la plateforme européenne commune </w:t>
      </w:r>
      <w:r w:rsidR="00B26366" w:rsidRPr="00B26366">
        <w:rPr>
          <w:rFonts w:asciiTheme="minorHAnsi" w:hAnsiTheme="minorHAnsi"/>
          <w:lang w:val="fr-FR"/>
        </w:rPr>
        <w:t>au</w:t>
      </w:r>
      <w:r w:rsidR="00B85D13" w:rsidRPr="00B26366">
        <w:rPr>
          <w:rFonts w:asciiTheme="minorHAnsi" w:hAnsiTheme="minorHAnsi"/>
          <w:lang w:val="fr-FR"/>
        </w:rPr>
        <w:t xml:space="preserve"> groupe</w:t>
      </w:r>
      <w:r w:rsidR="00CD79A8" w:rsidRPr="00B26366">
        <w:rPr>
          <w:rFonts w:asciiTheme="minorHAnsi" w:hAnsiTheme="minorHAnsi"/>
          <w:lang w:val="fr-FR"/>
        </w:rPr>
        <w:t xml:space="preserve"> BinckBank</w:t>
      </w:r>
      <w:r w:rsidR="00B85D13" w:rsidRPr="00B26366">
        <w:rPr>
          <w:rFonts w:asciiTheme="minorHAnsi" w:hAnsiTheme="minorHAnsi"/>
          <w:lang w:val="fr-FR"/>
        </w:rPr>
        <w:t xml:space="preserve"> profitant ainsi de la qualité opérationnelle </w:t>
      </w:r>
      <w:r w:rsidR="00B26366" w:rsidRPr="00B26366">
        <w:rPr>
          <w:rFonts w:asciiTheme="minorHAnsi" w:hAnsiTheme="minorHAnsi"/>
          <w:lang w:val="fr-FR"/>
        </w:rPr>
        <w:t xml:space="preserve">du groupe, </w:t>
      </w:r>
      <w:r w:rsidR="00B85D13" w:rsidRPr="00B26366">
        <w:rPr>
          <w:rFonts w:asciiTheme="minorHAnsi" w:hAnsiTheme="minorHAnsi"/>
          <w:lang w:val="fr-FR"/>
        </w:rPr>
        <w:t xml:space="preserve">enrichissant les </w:t>
      </w:r>
      <w:r w:rsidR="00CD79A8" w:rsidRPr="00B26366">
        <w:rPr>
          <w:rFonts w:asciiTheme="minorHAnsi" w:hAnsiTheme="minorHAnsi"/>
          <w:lang w:val="fr-FR"/>
        </w:rPr>
        <w:t>fonctionnalités</w:t>
      </w:r>
      <w:r w:rsidR="00A30097" w:rsidRPr="00B26366">
        <w:rPr>
          <w:rFonts w:asciiTheme="minorHAnsi" w:hAnsiTheme="minorHAnsi"/>
          <w:lang w:val="fr-FR"/>
        </w:rPr>
        <w:t xml:space="preserve"> de son</w:t>
      </w:r>
      <w:r w:rsidR="00B85D13" w:rsidRPr="00B26366">
        <w:rPr>
          <w:rFonts w:asciiTheme="minorHAnsi" w:hAnsiTheme="minorHAnsi"/>
          <w:lang w:val="fr-FR"/>
        </w:rPr>
        <w:t xml:space="preserve"> si</w:t>
      </w:r>
      <w:r w:rsidR="00CD79A8" w:rsidRPr="00B26366">
        <w:rPr>
          <w:rFonts w:asciiTheme="minorHAnsi" w:hAnsiTheme="minorHAnsi"/>
          <w:lang w:val="fr-FR"/>
        </w:rPr>
        <w:t>te</w:t>
      </w:r>
      <w:r w:rsidR="00B26366" w:rsidRPr="00B26366">
        <w:rPr>
          <w:rFonts w:asciiTheme="minorHAnsi" w:hAnsiTheme="minorHAnsi"/>
          <w:lang w:val="fr-FR"/>
        </w:rPr>
        <w:t xml:space="preserve"> et élargissant son offre notamment par de nouveaux marchés boursiers proposés désormais aux investisseurs français</w:t>
      </w:r>
      <w:r w:rsidR="00CD79A8" w:rsidRPr="00B26366">
        <w:rPr>
          <w:rFonts w:asciiTheme="minorHAnsi" w:hAnsiTheme="minorHAnsi"/>
          <w:lang w:val="fr-FR"/>
        </w:rPr>
        <w:t>.</w:t>
      </w:r>
    </w:p>
    <w:p w14:paraId="5A38CD3F" w14:textId="77777777" w:rsidR="00382B58" w:rsidRPr="00B26366" w:rsidRDefault="00382B58" w:rsidP="008B1A7A">
      <w:pPr>
        <w:pStyle w:val="Standard"/>
        <w:jc w:val="both"/>
        <w:rPr>
          <w:rFonts w:asciiTheme="minorHAnsi" w:hAnsiTheme="minorHAnsi"/>
          <w:lang w:val="fr-FR"/>
        </w:rPr>
      </w:pPr>
    </w:p>
    <w:tbl>
      <w:tblPr>
        <w:tblW w:w="9133" w:type="dxa"/>
        <w:jc w:val="center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0"/>
        <w:gridCol w:w="1559"/>
        <w:gridCol w:w="1701"/>
        <w:gridCol w:w="1276"/>
        <w:gridCol w:w="887"/>
        <w:gridCol w:w="800"/>
      </w:tblGrid>
      <w:tr w:rsidR="000B073D" w:rsidRPr="007C100D" w14:paraId="5445A696" w14:textId="77777777" w:rsidTr="00830953">
        <w:trPr>
          <w:jc w:val="center"/>
        </w:trPr>
        <w:tc>
          <w:tcPr>
            <w:tcW w:w="2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6C41A" w14:textId="77777777" w:rsidR="000B073D" w:rsidRPr="007C100D" w:rsidRDefault="000B073D" w:rsidP="008B1A7A">
            <w:pPr>
              <w:pStyle w:val="Standard"/>
              <w:jc w:val="both"/>
              <w:rPr>
                <w:rFonts w:asciiTheme="minorHAnsi" w:hAnsiTheme="minorHAnsi"/>
                <w:color w:val="000000"/>
              </w:rPr>
            </w:pPr>
            <w:r w:rsidRPr="007C100D">
              <w:rPr>
                <w:rFonts w:asciiTheme="minorHAnsi" w:hAnsiTheme="minorHAnsi"/>
                <w:color w:val="000000"/>
                <w:lang w:val="fr-FR"/>
              </w:rPr>
              <w:t>BINCK.FR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E798" w14:textId="77777777" w:rsidR="000B073D" w:rsidRPr="007C100D" w:rsidRDefault="000B073D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E41F05">
              <w:rPr>
                <w:rFonts w:asciiTheme="minorHAnsi" w:hAnsiTheme="minorHAnsi"/>
                <w:b/>
                <w:lang w:val="fr-FR"/>
              </w:rPr>
              <w:t>1</w:t>
            </w:r>
            <w:r>
              <w:rPr>
                <w:rFonts w:asciiTheme="minorHAnsi" w:hAnsiTheme="minorHAnsi"/>
                <w:b/>
                <w:lang w:val="fr-FR"/>
              </w:rPr>
              <w:t xml:space="preserve"> </w:t>
            </w:r>
            <w:r w:rsidRPr="007C100D">
              <w:rPr>
                <w:rFonts w:asciiTheme="minorHAnsi" w:hAnsiTheme="minorHAnsi"/>
                <w:b/>
                <w:lang w:val="fr-FR"/>
              </w:rPr>
              <w:t>201</w:t>
            </w:r>
            <w:r w:rsidR="00E41F05">
              <w:rPr>
                <w:rFonts w:asciiTheme="minorHAnsi" w:hAnsiTheme="minorHAnsi"/>
                <w:b/>
                <w:lang w:val="fr-FR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9D5E" w14:textId="77777777" w:rsidR="000B073D" w:rsidRPr="007C100D" w:rsidRDefault="000B073D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E41F05">
              <w:rPr>
                <w:rFonts w:asciiTheme="minorHAnsi" w:hAnsiTheme="minorHAnsi"/>
                <w:b/>
                <w:lang w:val="fr-FR"/>
              </w:rPr>
              <w:t>4</w:t>
            </w:r>
            <w:r w:rsidRPr="007C100D">
              <w:rPr>
                <w:rFonts w:asciiTheme="minorHAnsi" w:hAnsiTheme="minorHAnsi"/>
                <w:b/>
                <w:lang w:val="fr-FR"/>
              </w:rPr>
              <w:t xml:space="preserve"> 201</w:t>
            </w:r>
            <w:r>
              <w:rPr>
                <w:rFonts w:asciiTheme="minorHAnsi" w:hAnsiTheme="minorHAnsi"/>
                <w:b/>
                <w:lang w:val="fr-F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EF65" w14:textId="77777777" w:rsidR="000B073D" w:rsidRPr="007C100D" w:rsidRDefault="000B073D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E41F05">
              <w:rPr>
                <w:rFonts w:asciiTheme="minorHAnsi" w:hAnsiTheme="minorHAnsi"/>
                <w:b/>
                <w:lang w:val="fr-FR"/>
              </w:rPr>
              <w:t>1</w:t>
            </w:r>
            <w:r w:rsidRPr="007C100D">
              <w:rPr>
                <w:rFonts w:asciiTheme="minorHAnsi" w:hAnsiTheme="minorHAnsi"/>
                <w:b/>
                <w:lang w:val="fr-FR"/>
              </w:rPr>
              <w:t xml:space="preserve"> 201</w:t>
            </w:r>
            <w:r w:rsidR="00E41F05">
              <w:rPr>
                <w:rFonts w:asciiTheme="minorHAnsi" w:hAnsiTheme="minorHAnsi"/>
                <w:b/>
                <w:lang w:val="fr-FR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3E424" w14:textId="77777777" w:rsidR="000B073D" w:rsidRPr="007C100D" w:rsidRDefault="000B073D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="Wingdings 3" w:hAnsi="Wingdings 3"/>
                <w:b/>
                <w:lang w:val="fr-FR"/>
              </w:rPr>
              <w:t></w:t>
            </w: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E41F05">
              <w:rPr>
                <w:rFonts w:asciiTheme="minorHAnsi" w:hAnsiTheme="minorHAnsi"/>
                <w:b/>
                <w:lang w:val="fr-FR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3E284" w14:textId="77777777" w:rsidR="000B073D" w:rsidRPr="007C100D" w:rsidRDefault="000B073D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7C100D">
              <w:rPr>
                <w:rFonts w:ascii="Wingdings 3" w:hAnsi="Wingdings 3"/>
                <w:b/>
                <w:lang w:val="fr-FR"/>
              </w:rPr>
              <w:t></w:t>
            </w:r>
            <w:r w:rsidRPr="007C100D">
              <w:rPr>
                <w:rFonts w:asciiTheme="minorHAnsi" w:hAnsiTheme="minorHAnsi"/>
                <w:b/>
                <w:lang w:val="fr-FR"/>
              </w:rPr>
              <w:t>T</w:t>
            </w:r>
            <w:r w:rsidR="00E41F05">
              <w:rPr>
                <w:rFonts w:asciiTheme="minorHAnsi" w:hAnsiTheme="minorHAnsi"/>
                <w:b/>
                <w:lang w:val="fr-FR"/>
              </w:rPr>
              <w:t>1</w:t>
            </w:r>
          </w:p>
        </w:tc>
      </w:tr>
      <w:tr w:rsidR="00E41F05" w:rsidRPr="007C100D" w14:paraId="36C810D2" w14:textId="77777777" w:rsidTr="00830953">
        <w:trPr>
          <w:jc w:val="center"/>
        </w:trPr>
        <w:tc>
          <w:tcPr>
            <w:tcW w:w="2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B105" w14:textId="77777777" w:rsidR="00E41F05" w:rsidRPr="007C100D" w:rsidRDefault="00E41F05" w:rsidP="008B1A7A">
            <w:pPr>
              <w:pStyle w:val="Standard"/>
              <w:jc w:val="both"/>
              <w:rPr>
                <w:rFonts w:asciiTheme="minorHAnsi" w:hAnsiTheme="minorHAnsi"/>
                <w:color w:val="000000"/>
                <w:lang w:val="fr-FR"/>
              </w:rPr>
            </w:pPr>
            <w:r w:rsidRPr="007C100D">
              <w:rPr>
                <w:rFonts w:asciiTheme="minorHAnsi" w:hAnsiTheme="minorHAnsi"/>
                <w:color w:val="000000"/>
                <w:spacing w:val="-8"/>
                <w:lang w:val="fr-FR"/>
              </w:rPr>
              <w:t xml:space="preserve">Nombre de comptes bourse 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CF34" w14:textId="77777777" w:rsidR="00E41F05" w:rsidRPr="00DE479F" w:rsidRDefault="00DE479F" w:rsidP="00E41F05">
            <w:pPr>
              <w:jc w:val="center"/>
            </w:pPr>
            <w:r>
              <w:rPr>
                <w:rFonts w:asciiTheme="minorHAnsi" w:hAnsiTheme="minorHAnsi"/>
                <w:lang w:val="fr-FR"/>
              </w:rPr>
              <w:t>52 919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4D52F" w14:textId="77777777" w:rsidR="00E41F05" w:rsidRPr="007C100D" w:rsidRDefault="00E41F05" w:rsidP="00E41F05">
            <w:pPr>
              <w:pStyle w:val="Standard"/>
              <w:jc w:val="center"/>
              <w:rPr>
                <w:rFonts w:asciiTheme="minorHAnsi" w:hAnsiTheme="minorHAnsi"/>
                <w:color w:val="000000"/>
                <w:lang w:val="fr-FR"/>
              </w:rPr>
            </w:pPr>
            <w:r>
              <w:rPr>
                <w:rFonts w:asciiTheme="minorHAnsi" w:hAnsiTheme="minorHAnsi"/>
                <w:color w:val="000000"/>
                <w:lang w:val="fr-FR"/>
              </w:rPr>
              <w:t>52 142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3701" w14:textId="77777777" w:rsidR="00E41F05" w:rsidRPr="007C100D" w:rsidRDefault="00E41F05" w:rsidP="008B1A7A">
            <w:pPr>
              <w:pStyle w:val="Standard"/>
              <w:jc w:val="center"/>
              <w:rPr>
                <w:rFonts w:asciiTheme="minorHAnsi" w:hAnsiTheme="minorHAnsi"/>
                <w:color w:val="000000"/>
                <w:lang w:val="fr-FR"/>
              </w:rPr>
            </w:pPr>
            <w:r>
              <w:rPr>
                <w:rFonts w:asciiTheme="minorHAnsi" w:hAnsiTheme="minorHAnsi"/>
                <w:color w:val="000000"/>
                <w:lang w:val="fr-FR"/>
              </w:rPr>
              <w:t>50 829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1ED6A" w14:textId="77777777" w:rsidR="00E41F05" w:rsidRPr="00DE479F" w:rsidRDefault="00E41F05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DE479F">
              <w:rPr>
                <w:rFonts w:asciiTheme="minorHAnsi" w:hAnsiTheme="minorHAnsi"/>
                <w:lang w:val="fr-FR"/>
              </w:rPr>
              <w:t>+1%</w:t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DE35C" w14:textId="77777777" w:rsidR="00E41F05" w:rsidRPr="00DE479F" w:rsidRDefault="00E41F05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 w:rsidRPr="00DE479F">
              <w:rPr>
                <w:rFonts w:asciiTheme="minorHAnsi" w:hAnsiTheme="minorHAnsi"/>
                <w:b/>
                <w:lang w:val="fr-FR"/>
              </w:rPr>
              <w:t>+4%</w:t>
            </w:r>
          </w:p>
        </w:tc>
      </w:tr>
      <w:tr w:rsidR="00E41F05" w:rsidRPr="007C100D" w14:paraId="033DE598" w14:textId="77777777" w:rsidTr="00830953">
        <w:trPr>
          <w:jc w:val="center"/>
        </w:trPr>
        <w:tc>
          <w:tcPr>
            <w:tcW w:w="2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A1E4F" w14:textId="77777777" w:rsidR="00E41F05" w:rsidRPr="007C100D" w:rsidRDefault="00E41F05" w:rsidP="008B1A7A">
            <w:pPr>
              <w:pStyle w:val="Standard"/>
              <w:jc w:val="both"/>
              <w:rPr>
                <w:rFonts w:asciiTheme="minorHAnsi" w:hAnsiTheme="minorHAnsi"/>
                <w:color w:val="000000"/>
              </w:rPr>
            </w:pPr>
            <w:r w:rsidRPr="007C100D">
              <w:rPr>
                <w:rFonts w:asciiTheme="minorHAnsi" w:hAnsiTheme="minorHAnsi"/>
                <w:color w:val="000000"/>
                <w:lang w:val="fr-FR"/>
              </w:rPr>
              <w:t>Nombre de transactions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8442" w14:textId="77777777" w:rsidR="00E41F05" w:rsidRPr="00DE479F" w:rsidRDefault="00DE479F" w:rsidP="00E41F05">
            <w:pPr>
              <w:jc w:val="center"/>
            </w:pPr>
            <w:r>
              <w:rPr>
                <w:rFonts w:asciiTheme="minorHAnsi" w:hAnsiTheme="minorHAnsi"/>
                <w:lang w:val="fr-FR"/>
              </w:rPr>
              <w:t>263 239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39D5C" w14:textId="77777777" w:rsidR="00E41F05" w:rsidRPr="007C100D" w:rsidRDefault="00E41F05" w:rsidP="00E41F05">
            <w:pPr>
              <w:pStyle w:val="Standard"/>
              <w:jc w:val="center"/>
              <w:rPr>
                <w:rFonts w:asciiTheme="minorHAnsi" w:hAnsiTheme="minorHAnsi"/>
                <w:color w:val="000000"/>
                <w:lang w:val="fr-FR"/>
              </w:rPr>
            </w:pPr>
            <w:r>
              <w:rPr>
                <w:rFonts w:asciiTheme="minorHAnsi" w:hAnsiTheme="minorHAnsi"/>
                <w:color w:val="000000"/>
                <w:lang w:val="fr-FR"/>
              </w:rPr>
              <w:t>267 712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8B3E7" w14:textId="77777777" w:rsidR="00E41F05" w:rsidRPr="007C100D" w:rsidRDefault="00E41F05" w:rsidP="008B1A7A">
            <w:pPr>
              <w:pStyle w:val="Standard"/>
              <w:jc w:val="center"/>
              <w:rPr>
                <w:rFonts w:asciiTheme="minorHAnsi" w:hAnsiTheme="minorHAnsi"/>
                <w:color w:val="000000"/>
                <w:lang w:val="fr-FR"/>
              </w:rPr>
            </w:pPr>
            <w:r>
              <w:rPr>
                <w:rFonts w:asciiTheme="minorHAnsi" w:hAnsiTheme="minorHAnsi"/>
                <w:color w:val="000000"/>
                <w:lang w:val="fr-FR"/>
              </w:rPr>
              <w:t>365 416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8AD2" w14:textId="77777777" w:rsidR="00E41F05" w:rsidRPr="00DE479F" w:rsidRDefault="00DE479F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FR"/>
              </w:rPr>
              <w:t>-2</w:t>
            </w:r>
            <w:r w:rsidR="00E41F05" w:rsidRPr="00DE479F">
              <w:rPr>
                <w:rFonts w:asciiTheme="minorHAnsi" w:hAnsiTheme="minorHAnsi"/>
                <w:lang w:val="fr-FR"/>
              </w:rPr>
              <w:t>%</w:t>
            </w:r>
          </w:p>
        </w:tc>
        <w:tc>
          <w:tcPr>
            <w:tcW w:w="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C7555" w14:textId="77777777" w:rsidR="00E41F05" w:rsidRPr="00DE479F" w:rsidRDefault="00DE479F" w:rsidP="008B1A7A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fr-FR"/>
              </w:rPr>
              <w:t>-28</w:t>
            </w:r>
            <w:r w:rsidR="00E41F05" w:rsidRPr="00DE479F">
              <w:rPr>
                <w:rFonts w:asciiTheme="minorHAnsi" w:hAnsiTheme="minorHAnsi"/>
                <w:b/>
                <w:lang w:val="fr-FR"/>
              </w:rPr>
              <w:t>%</w:t>
            </w:r>
          </w:p>
        </w:tc>
      </w:tr>
    </w:tbl>
    <w:p w14:paraId="65DD5FF5" w14:textId="77777777" w:rsidR="004E52F9" w:rsidRPr="00F65805" w:rsidRDefault="004E52F9" w:rsidP="008B1A7A">
      <w:pPr>
        <w:rPr>
          <w:rFonts w:asciiTheme="minorHAnsi" w:hAnsiTheme="minorHAnsi" w:cs="Arial"/>
          <w:bCs/>
          <w:i/>
          <w:sz w:val="20"/>
          <w:szCs w:val="20"/>
          <w:lang w:val="fr-FR"/>
        </w:rPr>
      </w:pPr>
    </w:p>
    <w:p w14:paraId="7725F19E" w14:textId="77777777" w:rsidR="00B164F0" w:rsidRPr="00D4071E" w:rsidRDefault="00B164F0" w:rsidP="004E52F9">
      <w:pPr>
        <w:pStyle w:val="Pa7"/>
        <w:spacing w:line="240" w:lineRule="auto"/>
        <w:jc w:val="center"/>
        <w:rPr>
          <w:rFonts w:asciiTheme="minorHAnsi" w:hAnsiTheme="minorHAnsi"/>
          <w:bCs/>
          <w:i/>
          <w:sz w:val="20"/>
          <w:szCs w:val="20"/>
          <w:lang w:val="nl-NL"/>
        </w:rPr>
      </w:pPr>
      <w:r w:rsidRPr="00D4071E">
        <w:rPr>
          <w:rFonts w:asciiTheme="minorHAnsi" w:hAnsiTheme="minorHAnsi"/>
          <w:i/>
          <w:sz w:val="20"/>
          <w:szCs w:val="20"/>
          <w:lang w:val="nl-NL" w:eastAsia="nl-NL"/>
        </w:rPr>
        <w:t>Public Relations</w:t>
      </w:r>
      <w:r w:rsidR="00C54C59" w:rsidRPr="00D4071E">
        <w:rPr>
          <w:rFonts w:asciiTheme="minorHAnsi" w:hAnsiTheme="minorHAnsi"/>
          <w:i/>
          <w:sz w:val="20"/>
          <w:szCs w:val="20"/>
          <w:lang w:val="nl-NL" w:eastAsia="nl-NL"/>
        </w:rPr>
        <w:t xml:space="preserve"> :</w:t>
      </w:r>
      <w:r w:rsidRPr="00D4071E">
        <w:rPr>
          <w:rFonts w:asciiTheme="minorHAnsi" w:hAnsiTheme="minorHAnsi"/>
          <w:i/>
          <w:sz w:val="20"/>
          <w:szCs w:val="20"/>
          <w:lang w:val="nl-NL" w:eastAsia="nl-NL"/>
        </w:rPr>
        <w:t xml:space="preserve"> Harmen van der Schoor +31 (0)20 522 0378 - </w:t>
      </w:r>
      <w:hyperlink r:id="rId8" w:history="1">
        <w:r w:rsidRPr="00D4071E">
          <w:rPr>
            <w:rStyle w:val="Lienhypertexte"/>
            <w:rFonts w:asciiTheme="minorHAnsi" w:hAnsiTheme="minorHAnsi"/>
            <w:i/>
            <w:color w:val="auto"/>
            <w:sz w:val="20"/>
            <w:szCs w:val="20"/>
            <w:lang w:val="nl-NL" w:eastAsia="nl-NL"/>
          </w:rPr>
          <w:t>HvanderSchoor@binck.nl</w:t>
        </w:r>
      </w:hyperlink>
    </w:p>
    <w:p w14:paraId="163DC80F" w14:textId="4B21F0EA" w:rsidR="004E52F9" w:rsidRDefault="00B164F0" w:rsidP="004E52F9">
      <w:pPr>
        <w:pStyle w:val="Standard"/>
        <w:jc w:val="center"/>
        <w:rPr>
          <w:rStyle w:val="Lienhypertexte"/>
          <w:rFonts w:asciiTheme="minorHAnsi" w:hAnsiTheme="minorHAnsi"/>
          <w:i/>
          <w:color w:val="auto"/>
          <w:sz w:val="20"/>
          <w:szCs w:val="20"/>
          <w:lang w:val="fr-FR" w:eastAsia="nl-NL"/>
        </w:rPr>
      </w:pPr>
      <w:r w:rsidRPr="00D4071E">
        <w:rPr>
          <w:rFonts w:asciiTheme="minorHAnsi" w:eastAsiaTheme="minorHAnsi" w:hAnsiTheme="minorHAnsi"/>
          <w:i/>
          <w:kern w:val="0"/>
          <w:sz w:val="20"/>
          <w:szCs w:val="20"/>
          <w:lang w:val="fr-FR" w:eastAsia="nl-NL"/>
        </w:rPr>
        <w:t xml:space="preserve">Contact Presse France : </w:t>
      </w:r>
      <w:r w:rsidR="0038700A" w:rsidRPr="00D4071E">
        <w:rPr>
          <w:rFonts w:asciiTheme="minorHAnsi" w:eastAsiaTheme="minorHAnsi" w:hAnsiTheme="minorHAnsi"/>
          <w:i/>
          <w:kern w:val="0"/>
          <w:sz w:val="20"/>
          <w:szCs w:val="20"/>
          <w:lang w:val="fr-FR" w:eastAsia="nl-NL"/>
        </w:rPr>
        <w:t>Alice Gardan 01 70 36 70 59</w:t>
      </w:r>
      <w:r w:rsidRPr="00D4071E">
        <w:rPr>
          <w:rFonts w:asciiTheme="minorHAnsi" w:eastAsiaTheme="minorHAnsi" w:hAnsiTheme="minorHAnsi"/>
          <w:i/>
          <w:kern w:val="0"/>
          <w:sz w:val="20"/>
          <w:szCs w:val="20"/>
          <w:lang w:val="fr-FR" w:eastAsia="nl-NL"/>
        </w:rPr>
        <w:t xml:space="preserve"> </w:t>
      </w:r>
      <w:r w:rsidR="00C54C59" w:rsidRPr="00D4071E">
        <w:rPr>
          <w:rFonts w:asciiTheme="minorHAnsi" w:eastAsiaTheme="minorHAnsi" w:hAnsiTheme="minorHAnsi"/>
          <w:i/>
          <w:kern w:val="0"/>
          <w:sz w:val="20"/>
          <w:szCs w:val="20"/>
          <w:lang w:val="fr-FR" w:eastAsia="nl-NL"/>
        </w:rPr>
        <w:t>-</w:t>
      </w:r>
      <w:r w:rsidRPr="00D4071E">
        <w:rPr>
          <w:rFonts w:asciiTheme="minorHAnsi" w:eastAsiaTheme="minorHAnsi" w:hAnsiTheme="minorHAnsi"/>
          <w:i/>
          <w:kern w:val="0"/>
          <w:sz w:val="20"/>
          <w:szCs w:val="20"/>
          <w:lang w:val="fr-FR" w:eastAsia="nl-NL"/>
        </w:rPr>
        <w:t xml:space="preserve"> </w:t>
      </w:r>
      <w:hyperlink r:id="rId9" w:history="1">
        <w:r w:rsidR="00C54C59" w:rsidRPr="00D4071E">
          <w:rPr>
            <w:rStyle w:val="Lienhypertexte"/>
            <w:rFonts w:asciiTheme="minorHAnsi" w:hAnsiTheme="minorHAnsi"/>
            <w:i/>
            <w:color w:val="auto"/>
            <w:sz w:val="20"/>
            <w:szCs w:val="20"/>
            <w:lang w:val="fr-FR" w:eastAsia="nl-NL"/>
          </w:rPr>
          <w:t>agardan@binck.fr</w:t>
        </w:r>
      </w:hyperlink>
    </w:p>
    <w:p w14:paraId="70241154" w14:textId="77777777" w:rsidR="004E52F9" w:rsidRPr="004E52F9" w:rsidRDefault="004E52F9" w:rsidP="004E52F9">
      <w:pPr>
        <w:pStyle w:val="Standard"/>
        <w:rPr>
          <w:rFonts w:asciiTheme="minorHAnsi" w:hAnsiTheme="minorHAnsi"/>
          <w:i/>
          <w:sz w:val="10"/>
          <w:szCs w:val="10"/>
          <w:u w:val="single"/>
          <w:lang w:val="fr-FR" w:eastAsia="nl-NL"/>
        </w:rPr>
      </w:pPr>
    </w:p>
    <w:p w14:paraId="355CF014" w14:textId="77777777" w:rsidR="00F65805" w:rsidRPr="00D4071E" w:rsidRDefault="00F65805" w:rsidP="00F65805">
      <w:pPr>
        <w:pStyle w:val="Standard"/>
        <w:jc w:val="both"/>
        <w:rPr>
          <w:rFonts w:asciiTheme="minorHAnsi" w:hAnsiTheme="minorHAnsi"/>
          <w:i/>
          <w:sz w:val="20"/>
          <w:szCs w:val="20"/>
          <w:lang w:val="fr-FR"/>
        </w:rPr>
      </w:pPr>
      <w:r w:rsidRPr="00D4071E">
        <w:rPr>
          <w:rFonts w:asciiTheme="minorHAnsi" w:hAnsiTheme="minorHAnsi"/>
          <w:i/>
          <w:sz w:val="20"/>
          <w:szCs w:val="20"/>
          <w:lang w:val="fr-FR"/>
        </w:rPr>
        <w:t>Créée en 2000 aux Pays-Bas, BinckBank, spécialiste de la Bourse en ligne, figure parmi le top 5 des courtiers européens. Cotée à la Bourse NYSE Euronext d’Amsterdam (code ISIN NL0000335578), BinckBank propose des investissements dans toutes les principales places financières du monde. BinckBank est leader aux Pays-Bas et en Belgique. Binck.fr est la succursale française depuis 2008.</w:t>
      </w:r>
    </w:p>
    <w:p w14:paraId="523EEB3C" w14:textId="77777777" w:rsidR="004E52F9" w:rsidRPr="004E52F9" w:rsidRDefault="004E52F9" w:rsidP="008B1A7A">
      <w:pPr>
        <w:pStyle w:val="Standard"/>
        <w:jc w:val="center"/>
        <w:rPr>
          <w:rStyle w:val="Lienhypertexte"/>
          <w:rFonts w:asciiTheme="minorHAnsi" w:hAnsiTheme="minorHAnsi"/>
          <w:color w:val="auto"/>
          <w:sz w:val="10"/>
          <w:szCs w:val="10"/>
          <w:lang w:val="fr-FR" w:eastAsia="nl-NL"/>
        </w:rPr>
      </w:pPr>
    </w:p>
    <w:p w14:paraId="2D57A654" w14:textId="77777777" w:rsidR="00136C43" w:rsidRPr="00830953" w:rsidRDefault="00136C43" w:rsidP="00830953">
      <w:pPr>
        <w:pStyle w:val="Pa0"/>
        <w:spacing w:line="240" w:lineRule="auto"/>
        <w:jc w:val="both"/>
        <w:rPr>
          <w:rFonts w:ascii="Calibri" w:hAnsi="Calibri" w:cs="TheSansSemiLight-Plain"/>
          <w:sz w:val="11"/>
          <w:szCs w:val="11"/>
          <w:lang w:val="fr-FR"/>
        </w:rPr>
      </w:pPr>
      <w:proofErr w:type="spellStart"/>
      <w:r w:rsidRPr="00F7573F">
        <w:rPr>
          <w:rStyle w:val="A0"/>
          <w:rFonts w:ascii="Calibri" w:hAnsi="Calibri"/>
          <w:sz w:val="16"/>
          <w:szCs w:val="16"/>
          <w:lang w:val="fr-FR"/>
        </w:rPr>
        <w:t>Binckbank</w:t>
      </w:r>
      <w:proofErr w:type="spellEnd"/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 N.V, sise au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1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bis rue </w:t>
      </w:r>
      <w:proofErr w:type="spellStart"/>
      <w:r w:rsidRPr="00F7573F">
        <w:rPr>
          <w:rStyle w:val="A0"/>
          <w:rFonts w:ascii="Calibri" w:hAnsi="Calibri"/>
          <w:sz w:val="16"/>
          <w:szCs w:val="16"/>
          <w:lang w:val="fr-FR"/>
        </w:rPr>
        <w:t>Collange</w:t>
      </w:r>
      <w:proofErr w:type="spellEnd"/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, CS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>30110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,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92593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Levallois-Perret Cedex, France, immatriculée au RCS de Nanterre sous le numéro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>495 193 849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, contrôlée par l’Autorité de Contrôle Prudentiel et de Résolution (ACPR :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61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rue </w:t>
      </w:r>
      <w:proofErr w:type="spellStart"/>
      <w:r w:rsidRPr="00F7573F">
        <w:rPr>
          <w:rStyle w:val="A0"/>
          <w:rFonts w:ascii="Calibri" w:hAnsi="Calibri"/>
          <w:sz w:val="16"/>
          <w:szCs w:val="16"/>
          <w:lang w:val="fr-FR"/>
        </w:rPr>
        <w:t>Taitbout</w:t>
      </w:r>
      <w:proofErr w:type="spellEnd"/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,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75436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Paris cedex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>09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) et par l’Autorité des Marchés financiers (AMF :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17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place de la bourse,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75082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Paris cedex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>02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), succursale de </w:t>
      </w:r>
      <w:proofErr w:type="spellStart"/>
      <w:r w:rsidRPr="00F7573F">
        <w:rPr>
          <w:rStyle w:val="A0"/>
          <w:rFonts w:ascii="Calibri" w:hAnsi="Calibri"/>
          <w:sz w:val="16"/>
          <w:szCs w:val="16"/>
          <w:lang w:val="fr-FR"/>
        </w:rPr>
        <w:t>Binckbank</w:t>
      </w:r>
      <w:proofErr w:type="spellEnd"/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 NV, société anonyme de droit néerlandais, au capital social de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10 000 005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euros et dont le siège social est sis à Barbara </w:t>
      </w:r>
      <w:proofErr w:type="spellStart"/>
      <w:r w:rsidRPr="00F7573F">
        <w:rPr>
          <w:rStyle w:val="A0"/>
          <w:rFonts w:ascii="Calibri" w:hAnsi="Calibri"/>
          <w:sz w:val="16"/>
          <w:szCs w:val="16"/>
          <w:lang w:val="fr-FR"/>
        </w:rPr>
        <w:t>Strozzilaan</w:t>
      </w:r>
      <w:proofErr w:type="spellEnd"/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>310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 xml:space="preserve">, </w:t>
      </w:r>
      <w:r w:rsidRPr="00F7573F">
        <w:rPr>
          <w:rStyle w:val="A0"/>
          <w:rFonts w:ascii="Calibri" w:hAnsi="Calibri" w:cs="TheSansSemiLight-Caps"/>
          <w:sz w:val="16"/>
          <w:szCs w:val="16"/>
          <w:lang w:val="fr-FR"/>
        </w:rPr>
        <w:t xml:space="preserve">1083 </w:t>
      </w:r>
      <w:r w:rsidRPr="00F7573F">
        <w:rPr>
          <w:rStyle w:val="A0"/>
          <w:rFonts w:ascii="Calibri" w:hAnsi="Calibri"/>
          <w:sz w:val="16"/>
          <w:szCs w:val="16"/>
          <w:lang w:val="fr-FR"/>
        </w:rPr>
        <w:t>HN Amsterdam</w:t>
      </w:r>
      <w:r w:rsidRPr="00A34E83">
        <w:rPr>
          <w:rStyle w:val="A0"/>
          <w:rFonts w:ascii="Calibri" w:hAnsi="Calibri"/>
          <w:lang w:val="fr-FR"/>
        </w:rPr>
        <w:t>.</w:t>
      </w:r>
    </w:p>
    <w:sectPr w:rsidR="00136C43" w:rsidRPr="00830953" w:rsidSect="004E52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2"/>
      <w:pgMar w:top="-707" w:right="847" w:bottom="17" w:left="99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F68C7" w14:textId="77777777" w:rsidR="007D742D" w:rsidRDefault="007D742D">
      <w:r>
        <w:separator/>
      </w:r>
    </w:p>
  </w:endnote>
  <w:endnote w:type="continuationSeparator" w:id="0">
    <w:p w14:paraId="15DE706D" w14:textId="77777777" w:rsidR="007D742D" w:rsidRDefault="007D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SemiLight-Plain">
    <w:altName w:val="TheSansSemiLight-Pla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heSansSemiLight-Caps">
    <w:altName w:val="TheSansSemiLight-Cap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CDA10" w14:textId="77777777" w:rsidR="00FF0279" w:rsidRDefault="00FF02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AA100" w14:textId="77777777" w:rsidR="00FF0279" w:rsidRDefault="00FF0279">
    <w:pPr>
      <w:pStyle w:val="Pieddepage"/>
      <w:spacing w:after="360"/>
      <w:ind w:left="-1440" w:right="-1440"/>
      <w:jc w:val="center"/>
      <w:rPr>
        <w:rFonts w:ascii="Arial" w:hAnsi="Arial" w:cs="Arial"/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5144" w14:textId="77777777" w:rsidR="00FF0279" w:rsidRDefault="00FF02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34B7C" w14:textId="77777777" w:rsidR="007D742D" w:rsidRDefault="007D742D">
      <w:r>
        <w:separator/>
      </w:r>
    </w:p>
  </w:footnote>
  <w:footnote w:type="continuationSeparator" w:id="0">
    <w:p w14:paraId="4BB68DEA" w14:textId="77777777" w:rsidR="007D742D" w:rsidRDefault="007D7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A3CD4" w14:textId="77777777" w:rsidR="00FF0279" w:rsidRDefault="00FF02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A90F" w14:textId="77777777" w:rsidR="00FF0279" w:rsidRDefault="00FF0279" w:rsidP="007E1C0D">
    <w:pPr>
      <w:pStyle w:val="En-tte"/>
      <w:tabs>
        <w:tab w:val="left" w:pos="6804"/>
      </w:tabs>
      <w:ind w:left="-1474" w:right="-1415" w:hanging="146"/>
    </w:pPr>
    <w:r>
      <w:rPr>
        <w:noProof/>
        <w:lang w:val="en-US" w:eastAsia="en-US"/>
      </w:rPr>
      <w:drawing>
        <wp:inline distT="0" distB="0" distL="0" distR="0" wp14:anchorId="0D0AD28A" wp14:editId="733BAB28">
          <wp:extent cx="8029575" cy="1790700"/>
          <wp:effectExtent l="0" t="0" r="9525" b="0"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575" cy="1790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3D4B5" w14:textId="77777777" w:rsidR="00FF0279" w:rsidRDefault="00FF02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E10"/>
    <w:multiLevelType w:val="hybridMultilevel"/>
    <w:tmpl w:val="AED2519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A0257"/>
    <w:multiLevelType w:val="hybridMultilevel"/>
    <w:tmpl w:val="1FAA2F34"/>
    <w:lvl w:ilvl="0" w:tplc="EE48BE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B76CA9"/>
    <w:multiLevelType w:val="hybridMultilevel"/>
    <w:tmpl w:val="D6365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E94CD5"/>
    <w:multiLevelType w:val="hybridMultilevel"/>
    <w:tmpl w:val="9522BF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3E97"/>
    <w:multiLevelType w:val="hybridMultilevel"/>
    <w:tmpl w:val="DF5A0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C6568E"/>
    <w:multiLevelType w:val="hybridMultilevel"/>
    <w:tmpl w:val="C0F02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25B61"/>
    <w:multiLevelType w:val="hybridMultilevel"/>
    <w:tmpl w:val="E9586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8B0583"/>
    <w:multiLevelType w:val="hybridMultilevel"/>
    <w:tmpl w:val="47FC0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EA"/>
    <w:rsid w:val="00002835"/>
    <w:rsid w:val="00004E31"/>
    <w:rsid w:val="00010E24"/>
    <w:rsid w:val="00010E39"/>
    <w:rsid w:val="00010F74"/>
    <w:rsid w:val="00015C6F"/>
    <w:rsid w:val="000205A2"/>
    <w:rsid w:val="000227E8"/>
    <w:rsid w:val="00023AC5"/>
    <w:rsid w:val="00024549"/>
    <w:rsid w:val="000249D1"/>
    <w:rsid w:val="00025BB1"/>
    <w:rsid w:val="00026B48"/>
    <w:rsid w:val="00045808"/>
    <w:rsid w:val="00046DE2"/>
    <w:rsid w:val="00047122"/>
    <w:rsid w:val="000478DC"/>
    <w:rsid w:val="0006368D"/>
    <w:rsid w:val="00063D50"/>
    <w:rsid w:val="00066D19"/>
    <w:rsid w:val="000752BA"/>
    <w:rsid w:val="000825D9"/>
    <w:rsid w:val="0008433D"/>
    <w:rsid w:val="000906A4"/>
    <w:rsid w:val="0009396F"/>
    <w:rsid w:val="00093E10"/>
    <w:rsid w:val="000A2A44"/>
    <w:rsid w:val="000A4CEA"/>
    <w:rsid w:val="000B073D"/>
    <w:rsid w:val="000B23C0"/>
    <w:rsid w:val="000B5008"/>
    <w:rsid w:val="000B5998"/>
    <w:rsid w:val="000C160C"/>
    <w:rsid w:val="000C3369"/>
    <w:rsid w:val="000C7FF2"/>
    <w:rsid w:val="000E6AB6"/>
    <w:rsid w:val="000F5CDA"/>
    <w:rsid w:val="001023E8"/>
    <w:rsid w:val="0011091F"/>
    <w:rsid w:val="0012018C"/>
    <w:rsid w:val="001236C9"/>
    <w:rsid w:val="001263FF"/>
    <w:rsid w:val="001271B0"/>
    <w:rsid w:val="00130B63"/>
    <w:rsid w:val="00136C43"/>
    <w:rsid w:val="001413C5"/>
    <w:rsid w:val="0014275F"/>
    <w:rsid w:val="001455CF"/>
    <w:rsid w:val="00145E6D"/>
    <w:rsid w:val="00150699"/>
    <w:rsid w:val="00150715"/>
    <w:rsid w:val="0015425B"/>
    <w:rsid w:val="00155E09"/>
    <w:rsid w:val="0015710D"/>
    <w:rsid w:val="00174026"/>
    <w:rsid w:val="001761BF"/>
    <w:rsid w:val="00176D6B"/>
    <w:rsid w:val="00177310"/>
    <w:rsid w:val="00182698"/>
    <w:rsid w:val="00182E18"/>
    <w:rsid w:val="00183355"/>
    <w:rsid w:val="00183742"/>
    <w:rsid w:val="00184271"/>
    <w:rsid w:val="0019724D"/>
    <w:rsid w:val="001A106B"/>
    <w:rsid w:val="001A30F7"/>
    <w:rsid w:val="001B235B"/>
    <w:rsid w:val="001C6673"/>
    <w:rsid w:val="001C6E79"/>
    <w:rsid w:val="001E183C"/>
    <w:rsid w:val="001F1E1F"/>
    <w:rsid w:val="00210A28"/>
    <w:rsid w:val="00212171"/>
    <w:rsid w:val="00214CCC"/>
    <w:rsid w:val="0021718E"/>
    <w:rsid w:val="00220162"/>
    <w:rsid w:val="002207A8"/>
    <w:rsid w:val="00220AC5"/>
    <w:rsid w:val="00226CD6"/>
    <w:rsid w:val="00233229"/>
    <w:rsid w:val="00235DA2"/>
    <w:rsid w:val="00236F7C"/>
    <w:rsid w:val="0024159B"/>
    <w:rsid w:val="00244595"/>
    <w:rsid w:val="002446C7"/>
    <w:rsid w:val="00250A95"/>
    <w:rsid w:val="00254B88"/>
    <w:rsid w:val="00256B6C"/>
    <w:rsid w:val="002615E3"/>
    <w:rsid w:val="00264D4C"/>
    <w:rsid w:val="002670E5"/>
    <w:rsid w:val="00270375"/>
    <w:rsid w:val="00270E16"/>
    <w:rsid w:val="002736C7"/>
    <w:rsid w:val="0027419F"/>
    <w:rsid w:val="00275805"/>
    <w:rsid w:val="00280F66"/>
    <w:rsid w:val="00292238"/>
    <w:rsid w:val="002A0297"/>
    <w:rsid w:val="002A3EAC"/>
    <w:rsid w:val="002C11E4"/>
    <w:rsid w:val="002C2E38"/>
    <w:rsid w:val="002C4CAF"/>
    <w:rsid w:val="002C5670"/>
    <w:rsid w:val="002C7E7A"/>
    <w:rsid w:val="002D5AB5"/>
    <w:rsid w:val="002D65DB"/>
    <w:rsid w:val="002D66C2"/>
    <w:rsid w:val="002E2F96"/>
    <w:rsid w:val="002E4CE9"/>
    <w:rsid w:val="002F240F"/>
    <w:rsid w:val="002F4D69"/>
    <w:rsid w:val="002F51FA"/>
    <w:rsid w:val="002F6B58"/>
    <w:rsid w:val="00300A11"/>
    <w:rsid w:val="00301C91"/>
    <w:rsid w:val="003049D1"/>
    <w:rsid w:val="00306C58"/>
    <w:rsid w:val="00313F43"/>
    <w:rsid w:val="00316263"/>
    <w:rsid w:val="00323D9D"/>
    <w:rsid w:val="00324731"/>
    <w:rsid w:val="003259B6"/>
    <w:rsid w:val="00334506"/>
    <w:rsid w:val="0033615A"/>
    <w:rsid w:val="00352B8C"/>
    <w:rsid w:val="0035706E"/>
    <w:rsid w:val="003629E8"/>
    <w:rsid w:val="00377109"/>
    <w:rsid w:val="003779BF"/>
    <w:rsid w:val="00382B58"/>
    <w:rsid w:val="0038351E"/>
    <w:rsid w:val="0038700A"/>
    <w:rsid w:val="00387401"/>
    <w:rsid w:val="00387423"/>
    <w:rsid w:val="003901C3"/>
    <w:rsid w:val="00390B4B"/>
    <w:rsid w:val="003A6E7B"/>
    <w:rsid w:val="003B5EE1"/>
    <w:rsid w:val="003B6EF8"/>
    <w:rsid w:val="003B7707"/>
    <w:rsid w:val="003C179F"/>
    <w:rsid w:val="003C3229"/>
    <w:rsid w:val="003D08FF"/>
    <w:rsid w:val="003D1E28"/>
    <w:rsid w:val="003D3DB3"/>
    <w:rsid w:val="003D5998"/>
    <w:rsid w:val="003E03A4"/>
    <w:rsid w:val="003E5723"/>
    <w:rsid w:val="003E6A8A"/>
    <w:rsid w:val="003F08F2"/>
    <w:rsid w:val="003F445F"/>
    <w:rsid w:val="003F47C2"/>
    <w:rsid w:val="004000E1"/>
    <w:rsid w:val="00400D37"/>
    <w:rsid w:val="004014E9"/>
    <w:rsid w:val="004045B5"/>
    <w:rsid w:val="00406056"/>
    <w:rsid w:val="004078A6"/>
    <w:rsid w:val="004150E7"/>
    <w:rsid w:val="00416609"/>
    <w:rsid w:val="00420331"/>
    <w:rsid w:val="00426D32"/>
    <w:rsid w:val="004353C6"/>
    <w:rsid w:val="00437162"/>
    <w:rsid w:val="00442ACB"/>
    <w:rsid w:val="004441DC"/>
    <w:rsid w:val="00445765"/>
    <w:rsid w:val="00454094"/>
    <w:rsid w:val="004573C7"/>
    <w:rsid w:val="0046448C"/>
    <w:rsid w:val="00467DEA"/>
    <w:rsid w:val="004706FD"/>
    <w:rsid w:val="004758F5"/>
    <w:rsid w:val="00484CE6"/>
    <w:rsid w:val="00486123"/>
    <w:rsid w:val="0048743F"/>
    <w:rsid w:val="004915B7"/>
    <w:rsid w:val="00493CE2"/>
    <w:rsid w:val="0049735F"/>
    <w:rsid w:val="004A0F5B"/>
    <w:rsid w:val="004A1028"/>
    <w:rsid w:val="004A139D"/>
    <w:rsid w:val="004A1451"/>
    <w:rsid w:val="004A1997"/>
    <w:rsid w:val="004B16CC"/>
    <w:rsid w:val="004B7E25"/>
    <w:rsid w:val="004C5F2F"/>
    <w:rsid w:val="004D2176"/>
    <w:rsid w:val="004D78B5"/>
    <w:rsid w:val="004E4C36"/>
    <w:rsid w:val="004E52F9"/>
    <w:rsid w:val="004E73B5"/>
    <w:rsid w:val="004F59BB"/>
    <w:rsid w:val="004F76F1"/>
    <w:rsid w:val="0050026D"/>
    <w:rsid w:val="0050135A"/>
    <w:rsid w:val="0050484E"/>
    <w:rsid w:val="005069B5"/>
    <w:rsid w:val="00512698"/>
    <w:rsid w:val="00526A72"/>
    <w:rsid w:val="00531243"/>
    <w:rsid w:val="00537EFD"/>
    <w:rsid w:val="00544914"/>
    <w:rsid w:val="00547685"/>
    <w:rsid w:val="005501FB"/>
    <w:rsid w:val="00551C6B"/>
    <w:rsid w:val="0055269E"/>
    <w:rsid w:val="005632FD"/>
    <w:rsid w:val="00566183"/>
    <w:rsid w:val="00573E04"/>
    <w:rsid w:val="00577A5B"/>
    <w:rsid w:val="00580496"/>
    <w:rsid w:val="00580638"/>
    <w:rsid w:val="00580999"/>
    <w:rsid w:val="00584812"/>
    <w:rsid w:val="00587402"/>
    <w:rsid w:val="00587EBB"/>
    <w:rsid w:val="0059312E"/>
    <w:rsid w:val="00597667"/>
    <w:rsid w:val="005A4824"/>
    <w:rsid w:val="005B310F"/>
    <w:rsid w:val="005B7C6D"/>
    <w:rsid w:val="005C4E53"/>
    <w:rsid w:val="005C791A"/>
    <w:rsid w:val="005D2665"/>
    <w:rsid w:val="005D5841"/>
    <w:rsid w:val="005D7DE9"/>
    <w:rsid w:val="005E2D28"/>
    <w:rsid w:val="005F1CB6"/>
    <w:rsid w:val="005F3CE7"/>
    <w:rsid w:val="005F6DB7"/>
    <w:rsid w:val="006074A6"/>
    <w:rsid w:val="00614730"/>
    <w:rsid w:val="00615599"/>
    <w:rsid w:val="00616F22"/>
    <w:rsid w:val="006201F9"/>
    <w:rsid w:val="00621C32"/>
    <w:rsid w:val="006253F4"/>
    <w:rsid w:val="00625421"/>
    <w:rsid w:val="00625900"/>
    <w:rsid w:val="006370B2"/>
    <w:rsid w:val="00637D2C"/>
    <w:rsid w:val="00645133"/>
    <w:rsid w:val="00650429"/>
    <w:rsid w:val="006505E1"/>
    <w:rsid w:val="00651948"/>
    <w:rsid w:val="00664455"/>
    <w:rsid w:val="00670FD1"/>
    <w:rsid w:val="006710B7"/>
    <w:rsid w:val="0067254B"/>
    <w:rsid w:val="00675C97"/>
    <w:rsid w:val="0067636D"/>
    <w:rsid w:val="00676743"/>
    <w:rsid w:val="006776AC"/>
    <w:rsid w:val="006845F0"/>
    <w:rsid w:val="006A2179"/>
    <w:rsid w:val="006A4F6C"/>
    <w:rsid w:val="006A5BC2"/>
    <w:rsid w:val="006A7942"/>
    <w:rsid w:val="006B15F5"/>
    <w:rsid w:val="006B32C0"/>
    <w:rsid w:val="006B3A6E"/>
    <w:rsid w:val="006C2DD3"/>
    <w:rsid w:val="006C5ACE"/>
    <w:rsid w:val="006C6F8B"/>
    <w:rsid w:val="006D386F"/>
    <w:rsid w:val="006E0A5D"/>
    <w:rsid w:val="006F2C0B"/>
    <w:rsid w:val="006F6321"/>
    <w:rsid w:val="006F71F2"/>
    <w:rsid w:val="00701417"/>
    <w:rsid w:val="00701CD8"/>
    <w:rsid w:val="007037EC"/>
    <w:rsid w:val="00716D05"/>
    <w:rsid w:val="00723091"/>
    <w:rsid w:val="00723B1A"/>
    <w:rsid w:val="0073083C"/>
    <w:rsid w:val="00736832"/>
    <w:rsid w:val="0074070A"/>
    <w:rsid w:val="007412EF"/>
    <w:rsid w:val="00766B42"/>
    <w:rsid w:val="00767F22"/>
    <w:rsid w:val="007729EF"/>
    <w:rsid w:val="00780B18"/>
    <w:rsid w:val="00784A35"/>
    <w:rsid w:val="00786749"/>
    <w:rsid w:val="00794337"/>
    <w:rsid w:val="007975FA"/>
    <w:rsid w:val="007978F3"/>
    <w:rsid w:val="00797AF5"/>
    <w:rsid w:val="007A0204"/>
    <w:rsid w:val="007A03B1"/>
    <w:rsid w:val="007A0D05"/>
    <w:rsid w:val="007A2DA0"/>
    <w:rsid w:val="007A5E19"/>
    <w:rsid w:val="007B04BC"/>
    <w:rsid w:val="007C009B"/>
    <w:rsid w:val="007C100D"/>
    <w:rsid w:val="007C5367"/>
    <w:rsid w:val="007D1C31"/>
    <w:rsid w:val="007D742D"/>
    <w:rsid w:val="007E1C0D"/>
    <w:rsid w:val="007E7256"/>
    <w:rsid w:val="007F03F9"/>
    <w:rsid w:val="007F0664"/>
    <w:rsid w:val="007F1D34"/>
    <w:rsid w:val="007F1F60"/>
    <w:rsid w:val="007F51F3"/>
    <w:rsid w:val="007F5A4A"/>
    <w:rsid w:val="008069B5"/>
    <w:rsid w:val="008119F9"/>
    <w:rsid w:val="0081634D"/>
    <w:rsid w:val="00830953"/>
    <w:rsid w:val="0083321C"/>
    <w:rsid w:val="00833D65"/>
    <w:rsid w:val="00851834"/>
    <w:rsid w:val="008527BE"/>
    <w:rsid w:val="00870110"/>
    <w:rsid w:val="0087019E"/>
    <w:rsid w:val="00872945"/>
    <w:rsid w:val="00874BB5"/>
    <w:rsid w:val="008763C3"/>
    <w:rsid w:val="00884762"/>
    <w:rsid w:val="00893D4F"/>
    <w:rsid w:val="00896E7B"/>
    <w:rsid w:val="008A24CB"/>
    <w:rsid w:val="008A7B38"/>
    <w:rsid w:val="008B18FC"/>
    <w:rsid w:val="008B1A7A"/>
    <w:rsid w:val="008B7A71"/>
    <w:rsid w:val="008C0AE6"/>
    <w:rsid w:val="008D0C80"/>
    <w:rsid w:val="008D5780"/>
    <w:rsid w:val="008E6AD6"/>
    <w:rsid w:val="008F2066"/>
    <w:rsid w:val="008F5539"/>
    <w:rsid w:val="008F6772"/>
    <w:rsid w:val="0090243A"/>
    <w:rsid w:val="00902F05"/>
    <w:rsid w:val="00905EED"/>
    <w:rsid w:val="00906533"/>
    <w:rsid w:val="0091068B"/>
    <w:rsid w:val="00912701"/>
    <w:rsid w:val="009136F8"/>
    <w:rsid w:val="00916CE4"/>
    <w:rsid w:val="00920813"/>
    <w:rsid w:val="009248CD"/>
    <w:rsid w:val="009465A5"/>
    <w:rsid w:val="00947C8F"/>
    <w:rsid w:val="00960EA0"/>
    <w:rsid w:val="009622B2"/>
    <w:rsid w:val="009731C7"/>
    <w:rsid w:val="00973ACD"/>
    <w:rsid w:val="009747B5"/>
    <w:rsid w:val="00980A75"/>
    <w:rsid w:val="00983DEB"/>
    <w:rsid w:val="009961CF"/>
    <w:rsid w:val="00997908"/>
    <w:rsid w:val="009A2011"/>
    <w:rsid w:val="009A295D"/>
    <w:rsid w:val="009A3FEA"/>
    <w:rsid w:val="009B217D"/>
    <w:rsid w:val="009B54E6"/>
    <w:rsid w:val="009D6DC9"/>
    <w:rsid w:val="009E19B3"/>
    <w:rsid w:val="009E4832"/>
    <w:rsid w:val="009E5FB8"/>
    <w:rsid w:val="009E629A"/>
    <w:rsid w:val="009E65A1"/>
    <w:rsid w:val="009F0276"/>
    <w:rsid w:val="009F1EB1"/>
    <w:rsid w:val="009F40F6"/>
    <w:rsid w:val="009F75DF"/>
    <w:rsid w:val="00A07835"/>
    <w:rsid w:val="00A16675"/>
    <w:rsid w:val="00A233F3"/>
    <w:rsid w:val="00A27E68"/>
    <w:rsid w:val="00A30097"/>
    <w:rsid w:val="00A4066E"/>
    <w:rsid w:val="00A40CAB"/>
    <w:rsid w:val="00A4324A"/>
    <w:rsid w:val="00A52253"/>
    <w:rsid w:val="00A543ED"/>
    <w:rsid w:val="00A6008C"/>
    <w:rsid w:val="00A628E0"/>
    <w:rsid w:val="00A805C7"/>
    <w:rsid w:val="00A813D8"/>
    <w:rsid w:val="00A83C2B"/>
    <w:rsid w:val="00A84528"/>
    <w:rsid w:val="00A87373"/>
    <w:rsid w:val="00A92B8E"/>
    <w:rsid w:val="00A976DB"/>
    <w:rsid w:val="00AA0E2A"/>
    <w:rsid w:val="00AA73E7"/>
    <w:rsid w:val="00AC2444"/>
    <w:rsid w:val="00AC3A90"/>
    <w:rsid w:val="00AC488E"/>
    <w:rsid w:val="00AD16EA"/>
    <w:rsid w:val="00AE2F82"/>
    <w:rsid w:val="00AE7C11"/>
    <w:rsid w:val="00AF6693"/>
    <w:rsid w:val="00B05022"/>
    <w:rsid w:val="00B06FAD"/>
    <w:rsid w:val="00B07136"/>
    <w:rsid w:val="00B164F0"/>
    <w:rsid w:val="00B25AC1"/>
    <w:rsid w:val="00B2619E"/>
    <w:rsid w:val="00B26366"/>
    <w:rsid w:val="00B3202B"/>
    <w:rsid w:val="00B337D8"/>
    <w:rsid w:val="00B34FC3"/>
    <w:rsid w:val="00B431EA"/>
    <w:rsid w:val="00B575CB"/>
    <w:rsid w:val="00B612A6"/>
    <w:rsid w:val="00B6238F"/>
    <w:rsid w:val="00B64620"/>
    <w:rsid w:val="00B73677"/>
    <w:rsid w:val="00B813BA"/>
    <w:rsid w:val="00B85D13"/>
    <w:rsid w:val="00B971C1"/>
    <w:rsid w:val="00BA05D5"/>
    <w:rsid w:val="00BA3CF5"/>
    <w:rsid w:val="00BB0D29"/>
    <w:rsid w:val="00BB18B4"/>
    <w:rsid w:val="00BB1F10"/>
    <w:rsid w:val="00BB22DD"/>
    <w:rsid w:val="00BB4FE5"/>
    <w:rsid w:val="00BC03A6"/>
    <w:rsid w:val="00BC12AD"/>
    <w:rsid w:val="00BC2DD8"/>
    <w:rsid w:val="00BD0E03"/>
    <w:rsid w:val="00BD7C5D"/>
    <w:rsid w:val="00BE0315"/>
    <w:rsid w:val="00BE780B"/>
    <w:rsid w:val="00BF10B2"/>
    <w:rsid w:val="00C00F3B"/>
    <w:rsid w:val="00C05278"/>
    <w:rsid w:val="00C052A0"/>
    <w:rsid w:val="00C05B89"/>
    <w:rsid w:val="00C06F15"/>
    <w:rsid w:val="00C2055F"/>
    <w:rsid w:val="00C21F31"/>
    <w:rsid w:val="00C31D5D"/>
    <w:rsid w:val="00C340B3"/>
    <w:rsid w:val="00C35526"/>
    <w:rsid w:val="00C42341"/>
    <w:rsid w:val="00C45F5C"/>
    <w:rsid w:val="00C54C59"/>
    <w:rsid w:val="00C5546C"/>
    <w:rsid w:val="00C6112E"/>
    <w:rsid w:val="00C6220F"/>
    <w:rsid w:val="00C678BF"/>
    <w:rsid w:val="00C703F3"/>
    <w:rsid w:val="00C72164"/>
    <w:rsid w:val="00C83F9B"/>
    <w:rsid w:val="00C84933"/>
    <w:rsid w:val="00C87949"/>
    <w:rsid w:val="00CA170B"/>
    <w:rsid w:val="00CB167D"/>
    <w:rsid w:val="00CB557A"/>
    <w:rsid w:val="00CB757D"/>
    <w:rsid w:val="00CC74B6"/>
    <w:rsid w:val="00CD0C5E"/>
    <w:rsid w:val="00CD79A8"/>
    <w:rsid w:val="00CE1E56"/>
    <w:rsid w:val="00CE3B78"/>
    <w:rsid w:val="00CE730A"/>
    <w:rsid w:val="00CF3C5A"/>
    <w:rsid w:val="00D01356"/>
    <w:rsid w:val="00D03E6D"/>
    <w:rsid w:val="00D048BB"/>
    <w:rsid w:val="00D13AC1"/>
    <w:rsid w:val="00D231A9"/>
    <w:rsid w:val="00D24DF7"/>
    <w:rsid w:val="00D2782F"/>
    <w:rsid w:val="00D35491"/>
    <w:rsid w:val="00D3563A"/>
    <w:rsid w:val="00D3588E"/>
    <w:rsid w:val="00D36A65"/>
    <w:rsid w:val="00D4071E"/>
    <w:rsid w:val="00D4235B"/>
    <w:rsid w:val="00D53A24"/>
    <w:rsid w:val="00D57BC7"/>
    <w:rsid w:val="00D614B0"/>
    <w:rsid w:val="00D61D96"/>
    <w:rsid w:val="00D667C6"/>
    <w:rsid w:val="00D77257"/>
    <w:rsid w:val="00D91D56"/>
    <w:rsid w:val="00D940B0"/>
    <w:rsid w:val="00DA43B3"/>
    <w:rsid w:val="00DA64A9"/>
    <w:rsid w:val="00DA75A7"/>
    <w:rsid w:val="00DB17B4"/>
    <w:rsid w:val="00DB234C"/>
    <w:rsid w:val="00DC3D51"/>
    <w:rsid w:val="00DE0723"/>
    <w:rsid w:val="00DE1BD8"/>
    <w:rsid w:val="00DE413F"/>
    <w:rsid w:val="00DE479F"/>
    <w:rsid w:val="00DE6FE6"/>
    <w:rsid w:val="00DF369C"/>
    <w:rsid w:val="00DF671A"/>
    <w:rsid w:val="00E10DD8"/>
    <w:rsid w:val="00E11187"/>
    <w:rsid w:val="00E1241A"/>
    <w:rsid w:val="00E14B6D"/>
    <w:rsid w:val="00E17D0C"/>
    <w:rsid w:val="00E21DDC"/>
    <w:rsid w:val="00E33335"/>
    <w:rsid w:val="00E33B8F"/>
    <w:rsid w:val="00E41F05"/>
    <w:rsid w:val="00E456E9"/>
    <w:rsid w:val="00E4588B"/>
    <w:rsid w:val="00E4683D"/>
    <w:rsid w:val="00E46862"/>
    <w:rsid w:val="00E50F42"/>
    <w:rsid w:val="00E60CC1"/>
    <w:rsid w:val="00E617C0"/>
    <w:rsid w:val="00E8507A"/>
    <w:rsid w:val="00E93B24"/>
    <w:rsid w:val="00E94B31"/>
    <w:rsid w:val="00E9505A"/>
    <w:rsid w:val="00E95A98"/>
    <w:rsid w:val="00E97D9E"/>
    <w:rsid w:val="00EA34FC"/>
    <w:rsid w:val="00EA5DB2"/>
    <w:rsid w:val="00EB094F"/>
    <w:rsid w:val="00EB2A60"/>
    <w:rsid w:val="00EB725A"/>
    <w:rsid w:val="00EC30F1"/>
    <w:rsid w:val="00EC43CC"/>
    <w:rsid w:val="00ED2E8E"/>
    <w:rsid w:val="00ED42F5"/>
    <w:rsid w:val="00ED7980"/>
    <w:rsid w:val="00EE2D12"/>
    <w:rsid w:val="00EE6126"/>
    <w:rsid w:val="00EE786D"/>
    <w:rsid w:val="00EF0C2D"/>
    <w:rsid w:val="00F00CC6"/>
    <w:rsid w:val="00F010F4"/>
    <w:rsid w:val="00F1062B"/>
    <w:rsid w:val="00F106D8"/>
    <w:rsid w:val="00F114F2"/>
    <w:rsid w:val="00F13CE1"/>
    <w:rsid w:val="00F16D43"/>
    <w:rsid w:val="00F2758C"/>
    <w:rsid w:val="00F3571D"/>
    <w:rsid w:val="00F47166"/>
    <w:rsid w:val="00F50787"/>
    <w:rsid w:val="00F526BB"/>
    <w:rsid w:val="00F60F44"/>
    <w:rsid w:val="00F641EA"/>
    <w:rsid w:val="00F65805"/>
    <w:rsid w:val="00F70087"/>
    <w:rsid w:val="00F72832"/>
    <w:rsid w:val="00F83697"/>
    <w:rsid w:val="00F96074"/>
    <w:rsid w:val="00F9732A"/>
    <w:rsid w:val="00FA061A"/>
    <w:rsid w:val="00FB042F"/>
    <w:rsid w:val="00FC0777"/>
    <w:rsid w:val="00FC3EAF"/>
    <w:rsid w:val="00FC50EB"/>
    <w:rsid w:val="00FC664D"/>
    <w:rsid w:val="00FD280F"/>
    <w:rsid w:val="00FE7E7A"/>
    <w:rsid w:val="00FF0279"/>
    <w:rsid w:val="00FF0318"/>
    <w:rsid w:val="00FF153D"/>
    <w:rsid w:val="00FF18FC"/>
    <w:rsid w:val="00FF1993"/>
    <w:rsid w:val="00FF60AC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DF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val="nl-NL" w:eastAsia="en-US"/>
    </w:rPr>
  </w:style>
  <w:style w:type="paragraph" w:styleId="Titre3">
    <w:name w:val="heading 3"/>
    <w:basedOn w:val="Normal"/>
    <w:next w:val="Normal"/>
    <w:link w:val="Titre3Car"/>
    <w:uiPriority w:val="99"/>
    <w:qFormat/>
    <w:rsid w:val="00C678BF"/>
    <w:pPr>
      <w:keepNext/>
      <w:outlineLvl w:val="2"/>
    </w:pPr>
    <w:rPr>
      <w:rFonts w:ascii="Arial" w:hAnsi="Arial"/>
      <w:b/>
      <w:bCs/>
      <w:sz w:val="36"/>
      <w:lang w:eastAsia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locked/>
    <w:rsid w:val="0006368D"/>
    <w:rPr>
      <w:rFonts w:ascii="Arial" w:hAnsi="Arial" w:cs="Times New Roman"/>
      <w:b/>
      <w:bCs/>
      <w:sz w:val="24"/>
      <w:szCs w:val="24"/>
      <w:lang w:val="nl-NL" w:eastAsia="nl-NL"/>
    </w:rPr>
  </w:style>
  <w:style w:type="character" w:styleId="Lienhypertexte">
    <w:name w:val="Hyperlink"/>
    <w:basedOn w:val="Policepardfaut"/>
    <w:uiPriority w:val="99"/>
    <w:rsid w:val="00C678BF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C678BF"/>
    <w:pPr>
      <w:tabs>
        <w:tab w:val="center" w:pos="4536"/>
        <w:tab w:val="right" w:pos="9072"/>
      </w:tabs>
    </w:pPr>
    <w:rPr>
      <w:lang w:eastAsia="nl-NL"/>
    </w:rPr>
  </w:style>
  <w:style w:type="character" w:customStyle="1" w:styleId="En-tteCar">
    <w:name w:val="En-tête Car"/>
    <w:basedOn w:val="Policepardfaut"/>
    <w:link w:val="En-tte"/>
    <w:uiPriority w:val="99"/>
    <w:locked/>
    <w:rsid w:val="000A2A44"/>
    <w:rPr>
      <w:rFonts w:cs="Times New Roman"/>
      <w:sz w:val="24"/>
      <w:szCs w:val="24"/>
      <w:lang w:val="nl-NL" w:eastAsia="nl-NL"/>
    </w:rPr>
  </w:style>
  <w:style w:type="paragraph" w:styleId="Notedebasdepage">
    <w:name w:val="footnote text"/>
    <w:basedOn w:val="Normal"/>
    <w:link w:val="NotedebasdepageCar"/>
    <w:uiPriority w:val="99"/>
    <w:semiHidden/>
    <w:rsid w:val="00C678B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B5008"/>
    <w:rPr>
      <w:rFonts w:cs="Times New Roman"/>
      <w:sz w:val="20"/>
      <w:szCs w:val="20"/>
      <w:lang w:val="nl-NL"/>
    </w:rPr>
  </w:style>
  <w:style w:type="character" w:styleId="Appelnotedebasdep">
    <w:name w:val="footnote reference"/>
    <w:basedOn w:val="Policepardfaut"/>
    <w:uiPriority w:val="99"/>
    <w:semiHidden/>
    <w:rsid w:val="00C678BF"/>
    <w:rPr>
      <w:rFonts w:cs="Times New Roman"/>
      <w:vertAlign w:val="superscript"/>
    </w:rPr>
  </w:style>
  <w:style w:type="paragraph" w:styleId="Pieddepage">
    <w:name w:val="footer"/>
    <w:basedOn w:val="Normal"/>
    <w:link w:val="PieddepageCar"/>
    <w:uiPriority w:val="99"/>
    <w:rsid w:val="00C678B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B5008"/>
    <w:rPr>
      <w:rFonts w:cs="Times New Roman"/>
      <w:sz w:val="24"/>
      <w:szCs w:val="24"/>
      <w:lang w:val="nl-NL"/>
    </w:rPr>
  </w:style>
  <w:style w:type="paragraph" w:styleId="Corpsdetexte">
    <w:name w:val="Body Text"/>
    <w:basedOn w:val="Normal"/>
    <w:link w:val="CorpsdetexteCar"/>
    <w:uiPriority w:val="99"/>
    <w:rsid w:val="00C678BF"/>
    <w:pPr>
      <w:spacing w:line="260" w:lineRule="exact"/>
    </w:pPr>
    <w:rPr>
      <w:rFonts w:ascii="Verdana" w:hAnsi="Verdana"/>
      <w:sz w:val="18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0B5008"/>
    <w:rPr>
      <w:rFonts w:cs="Times New Roman"/>
      <w:sz w:val="24"/>
      <w:szCs w:val="24"/>
      <w:lang w:val="nl-NL"/>
    </w:rPr>
  </w:style>
  <w:style w:type="character" w:styleId="Lienhypertextesuivivisit">
    <w:name w:val="FollowedHyperlink"/>
    <w:basedOn w:val="Policepardfaut"/>
    <w:uiPriority w:val="99"/>
    <w:rsid w:val="00C678BF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rsid w:val="00B25A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B25AC1"/>
    <w:rPr>
      <w:rFonts w:ascii="Tahoma" w:hAnsi="Tahoma" w:cs="Tahoma"/>
      <w:sz w:val="16"/>
      <w:szCs w:val="16"/>
      <w:lang w:val="nl-NL" w:eastAsia="en-US"/>
    </w:rPr>
  </w:style>
  <w:style w:type="table" w:styleId="Grilledutableau">
    <w:name w:val="Table Grid"/>
    <w:basedOn w:val="TableauNormal"/>
    <w:uiPriority w:val="99"/>
    <w:locked/>
    <w:rsid w:val="0068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A4"/>
    <w:uiPriority w:val="99"/>
    <w:rsid w:val="00F526BB"/>
    <w:rPr>
      <w:color w:val="000000"/>
      <w:sz w:val="20"/>
    </w:rPr>
  </w:style>
  <w:style w:type="paragraph" w:customStyle="1" w:styleId="Pa11">
    <w:name w:val="Pa11"/>
    <w:basedOn w:val="Normal"/>
    <w:next w:val="Normal"/>
    <w:uiPriority w:val="99"/>
    <w:rsid w:val="00D36A65"/>
    <w:pPr>
      <w:autoSpaceDE w:val="0"/>
      <w:autoSpaceDN w:val="0"/>
      <w:adjustRightInd w:val="0"/>
      <w:spacing w:line="181" w:lineRule="atLeast"/>
    </w:pPr>
    <w:rPr>
      <w:rFonts w:ascii="Myriad Pro" w:hAnsi="Myriad Pro"/>
      <w:lang w:val="en-US"/>
    </w:rPr>
  </w:style>
  <w:style w:type="character" w:customStyle="1" w:styleId="A6">
    <w:name w:val="A6"/>
    <w:uiPriority w:val="99"/>
    <w:rsid w:val="00D36A65"/>
    <w:rPr>
      <w:rFonts w:cs="Myriad Pro"/>
      <w:color w:val="000000"/>
      <w:sz w:val="16"/>
      <w:szCs w:val="16"/>
    </w:rPr>
  </w:style>
  <w:style w:type="paragraph" w:customStyle="1" w:styleId="Standard">
    <w:name w:val="Standard"/>
    <w:rsid w:val="00C5546C"/>
    <w:pPr>
      <w:suppressAutoHyphens/>
      <w:autoSpaceDN w:val="0"/>
      <w:textAlignment w:val="baseline"/>
    </w:pPr>
    <w:rPr>
      <w:kern w:val="3"/>
      <w:sz w:val="24"/>
      <w:szCs w:val="24"/>
      <w:lang w:val="nl-NL" w:eastAsia="en-US"/>
    </w:rPr>
  </w:style>
  <w:style w:type="paragraph" w:customStyle="1" w:styleId="Pa7">
    <w:name w:val="Pa7"/>
    <w:basedOn w:val="Normal"/>
    <w:uiPriority w:val="99"/>
    <w:rsid w:val="00E10DD8"/>
    <w:pPr>
      <w:autoSpaceDE w:val="0"/>
      <w:autoSpaceDN w:val="0"/>
      <w:spacing w:line="201" w:lineRule="atLeast"/>
    </w:pPr>
    <w:rPr>
      <w:rFonts w:ascii="Myriad Pro" w:eastAsia="Calibri" w:hAnsi="Myriad Pro"/>
      <w:lang w:val="en-US"/>
    </w:rPr>
  </w:style>
  <w:style w:type="character" w:styleId="lev">
    <w:name w:val="Strong"/>
    <w:uiPriority w:val="22"/>
    <w:qFormat/>
    <w:locked/>
    <w:rsid w:val="00664455"/>
    <w:rPr>
      <w:b/>
      <w:bCs/>
    </w:rPr>
  </w:style>
  <w:style w:type="character" w:customStyle="1" w:styleId="hps">
    <w:name w:val="hps"/>
    <w:basedOn w:val="Policepardfaut"/>
    <w:rsid w:val="000249D1"/>
  </w:style>
  <w:style w:type="paragraph" w:styleId="PrformatHTML">
    <w:name w:val="HTML Preformatted"/>
    <w:basedOn w:val="Normal"/>
    <w:link w:val="PrformatHTMLCar"/>
    <w:uiPriority w:val="99"/>
    <w:unhideWhenUsed/>
    <w:rsid w:val="003E5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E5723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77109"/>
  </w:style>
  <w:style w:type="paragraph" w:styleId="NormalWeb">
    <w:name w:val="Normal (Web)"/>
    <w:basedOn w:val="Normal"/>
    <w:uiPriority w:val="99"/>
    <w:unhideWhenUsed/>
    <w:rsid w:val="00B164F0"/>
    <w:pPr>
      <w:spacing w:before="100" w:beforeAutospacing="1" w:after="100" w:afterAutospacing="1"/>
    </w:pPr>
    <w:rPr>
      <w:lang w:val="fr-FR" w:eastAsia="fr-FR"/>
    </w:rPr>
  </w:style>
  <w:style w:type="paragraph" w:styleId="Paragraphedeliste">
    <w:name w:val="List Paragraph"/>
    <w:basedOn w:val="Normal"/>
    <w:uiPriority w:val="34"/>
    <w:qFormat/>
    <w:rsid w:val="00A07835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136C43"/>
    <w:pPr>
      <w:autoSpaceDE w:val="0"/>
      <w:autoSpaceDN w:val="0"/>
      <w:adjustRightInd w:val="0"/>
      <w:spacing w:line="241" w:lineRule="atLeast"/>
    </w:pPr>
    <w:rPr>
      <w:rFonts w:ascii="TheSansSemiLight-Plain" w:eastAsia="Times" w:hAnsi="TheSansSemiLight-Plain"/>
      <w:lang w:val="en-US"/>
    </w:rPr>
  </w:style>
  <w:style w:type="character" w:customStyle="1" w:styleId="A0">
    <w:name w:val="A0"/>
    <w:uiPriority w:val="99"/>
    <w:rsid w:val="00136C43"/>
    <w:rPr>
      <w:rFonts w:cs="TheSansSemiLight-Plain"/>
      <w:color w:val="000000"/>
      <w:sz w:val="11"/>
      <w:szCs w:val="1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val="nl-NL" w:eastAsia="en-US"/>
    </w:rPr>
  </w:style>
  <w:style w:type="paragraph" w:styleId="Titre3">
    <w:name w:val="heading 3"/>
    <w:basedOn w:val="Normal"/>
    <w:next w:val="Normal"/>
    <w:link w:val="Titre3Car"/>
    <w:uiPriority w:val="99"/>
    <w:qFormat/>
    <w:rsid w:val="00C678BF"/>
    <w:pPr>
      <w:keepNext/>
      <w:outlineLvl w:val="2"/>
    </w:pPr>
    <w:rPr>
      <w:rFonts w:ascii="Arial" w:hAnsi="Arial"/>
      <w:b/>
      <w:bCs/>
      <w:sz w:val="36"/>
      <w:lang w:eastAsia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locked/>
    <w:rsid w:val="0006368D"/>
    <w:rPr>
      <w:rFonts w:ascii="Arial" w:hAnsi="Arial" w:cs="Times New Roman"/>
      <w:b/>
      <w:bCs/>
      <w:sz w:val="24"/>
      <w:szCs w:val="24"/>
      <w:lang w:val="nl-NL" w:eastAsia="nl-NL"/>
    </w:rPr>
  </w:style>
  <w:style w:type="character" w:styleId="Lienhypertexte">
    <w:name w:val="Hyperlink"/>
    <w:basedOn w:val="Policepardfaut"/>
    <w:uiPriority w:val="99"/>
    <w:rsid w:val="00C678BF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C678BF"/>
    <w:pPr>
      <w:tabs>
        <w:tab w:val="center" w:pos="4536"/>
        <w:tab w:val="right" w:pos="9072"/>
      </w:tabs>
    </w:pPr>
    <w:rPr>
      <w:lang w:eastAsia="nl-NL"/>
    </w:rPr>
  </w:style>
  <w:style w:type="character" w:customStyle="1" w:styleId="En-tteCar">
    <w:name w:val="En-tête Car"/>
    <w:basedOn w:val="Policepardfaut"/>
    <w:link w:val="En-tte"/>
    <w:uiPriority w:val="99"/>
    <w:locked/>
    <w:rsid w:val="000A2A44"/>
    <w:rPr>
      <w:rFonts w:cs="Times New Roman"/>
      <w:sz w:val="24"/>
      <w:szCs w:val="24"/>
      <w:lang w:val="nl-NL" w:eastAsia="nl-NL"/>
    </w:rPr>
  </w:style>
  <w:style w:type="paragraph" w:styleId="Notedebasdepage">
    <w:name w:val="footnote text"/>
    <w:basedOn w:val="Normal"/>
    <w:link w:val="NotedebasdepageCar"/>
    <w:uiPriority w:val="99"/>
    <w:semiHidden/>
    <w:rsid w:val="00C678B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B5008"/>
    <w:rPr>
      <w:rFonts w:cs="Times New Roman"/>
      <w:sz w:val="20"/>
      <w:szCs w:val="20"/>
      <w:lang w:val="nl-NL"/>
    </w:rPr>
  </w:style>
  <w:style w:type="character" w:styleId="Appelnotedebasdep">
    <w:name w:val="footnote reference"/>
    <w:basedOn w:val="Policepardfaut"/>
    <w:uiPriority w:val="99"/>
    <w:semiHidden/>
    <w:rsid w:val="00C678BF"/>
    <w:rPr>
      <w:rFonts w:cs="Times New Roman"/>
      <w:vertAlign w:val="superscript"/>
    </w:rPr>
  </w:style>
  <w:style w:type="paragraph" w:styleId="Pieddepage">
    <w:name w:val="footer"/>
    <w:basedOn w:val="Normal"/>
    <w:link w:val="PieddepageCar"/>
    <w:uiPriority w:val="99"/>
    <w:rsid w:val="00C678B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B5008"/>
    <w:rPr>
      <w:rFonts w:cs="Times New Roman"/>
      <w:sz w:val="24"/>
      <w:szCs w:val="24"/>
      <w:lang w:val="nl-NL"/>
    </w:rPr>
  </w:style>
  <w:style w:type="paragraph" w:styleId="Corpsdetexte">
    <w:name w:val="Body Text"/>
    <w:basedOn w:val="Normal"/>
    <w:link w:val="CorpsdetexteCar"/>
    <w:uiPriority w:val="99"/>
    <w:rsid w:val="00C678BF"/>
    <w:pPr>
      <w:spacing w:line="260" w:lineRule="exact"/>
    </w:pPr>
    <w:rPr>
      <w:rFonts w:ascii="Verdana" w:hAnsi="Verdana"/>
      <w:sz w:val="18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0B5008"/>
    <w:rPr>
      <w:rFonts w:cs="Times New Roman"/>
      <w:sz w:val="24"/>
      <w:szCs w:val="24"/>
      <w:lang w:val="nl-NL"/>
    </w:rPr>
  </w:style>
  <w:style w:type="character" w:styleId="Lienhypertextesuivivisit">
    <w:name w:val="FollowedHyperlink"/>
    <w:basedOn w:val="Policepardfaut"/>
    <w:uiPriority w:val="99"/>
    <w:rsid w:val="00C678BF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rsid w:val="00B25A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B25AC1"/>
    <w:rPr>
      <w:rFonts w:ascii="Tahoma" w:hAnsi="Tahoma" w:cs="Tahoma"/>
      <w:sz w:val="16"/>
      <w:szCs w:val="16"/>
      <w:lang w:val="nl-NL" w:eastAsia="en-US"/>
    </w:rPr>
  </w:style>
  <w:style w:type="table" w:styleId="Grilledutableau">
    <w:name w:val="Table Grid"/>
    <w:basedOn w:val="TableauNormal"/>
    <w:uiPriority w:val="99"/>
    <w:locked/>
    <w:rsid w:val="0068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A4"/>
    <w:uiPriority w:val="99"/>
    <w:rsid w:val="00F526BB"/>
    <w:rPr>
      <w:color w:val="000000"/>
      <w:sz w:val="20"/>
    </w:rPr>
  </w:style>
  <w:style w:type="paragraph" w:customStyle="1" w:styleId="Pa11">
    <w:name w:val="Pa11"/>
    <w:basedOn w:val="Normal"/>
    <w:next w:val="Normal"/>
    <w:uiPriority w:val="99"/>
    <w:rsid w:val="00D36A65"/>
    <w:pPr>
      <w:autoSpaceDE w:val="0"/>
      <w:autoSpaceDN w:val="0"/>
      <w:adjustRightInd w:val="0"/>
      <w:spacing w:line="181" w:lineRule="atLeast"/>
    </w:pPr>
    <w:rPr>
      <w:rFonts w:ascii="Myriad Pro" w:hAnsi="Myriad Pro"/>
      <w:lang w:val="en-US"/>
    </w:rPr>
  </w:style>
  <w:style w:type="character" w:customStyle="1" w:styleId="A6">
    <w:name w:val="A6"/>
    <w:uiPriority w:val="99"/>
    <w:rsid w:val="00D36A65"/>
    <w:rPr>
      <w:rFonts w:cs="Myriad Pro"/>
      <w:color w:val="000000"/>
      <w:sz w:val="16"/>
      <w:szCs w:val="16"/>
    </w:rPr>
  </w:style>
  <w:style w:type="paragraph" w:customStyle="1" w:styleId="Standard">
    <w:name w:val="Standard"/>
    <w:rsid w:val="00C5546C"/>
    <w:pPr>
      <w:suppressAutoHyphens/>
      <w:autoSpaceDN w:val="0"/>
      <w:textAlignment w:val="baseline"/>
    </w:pPr>
    <w:rPr>
      <w:kern w:val="3"/>
      <w:sz w:val="24"/>
      <w:szCs w:val="24"/>
      <w:lang w:val="nl-NL" w:eastAsia="en-US"/>
    </w:rPr>
  </w:style>
  <w:style w:type="paragraph" w:customStyle="1" w:styleId="Pa7">
    <w:name w:val="Pa7"/>
    <w:basedOn w:val="Normal"/>
    <w:uiPriority w:val="99"/>
    <w:rsid w:val="00E10DD8"/>
    <w:pPr>
      <w:autoSpaceDE w:val="0"/>
      <w:autoSpaceDN w:val="0"/>
      <w:spacing w:line="201" w:lineRule="atLeast"/>
    </w:pPr>
    <w:rPr>
      <w:rFonts w:ascii="Myriad Pro" w:eastAsia="Calibri" w:hAnsi="Myriad Pro"/>
      <w:lang w:val="en-US"/>
    </w:rPr>
  </w:style>
  <w:style w:type="character" w:styleId="lev">
    <w:name w:val="Strong"/>
    <w:uiPriority w:val="22"/>
    <w:qFormat/>
    <w:locked/>
    <w:rsid w:val="00664455"/>
    <w:rPr>
      <w:b/>
      <w:bCs/>
    </w:rPr>
  </w:style>
  <w:style w:type="character" w:customStyle="1" w:styleId="hps">
    <w:name w:val="hps"/>
    <w:basedOn w:val="Policepardfaut"/>
    <w:rsid w:val="000249D1"/>
  </w:style>
  <w:style w:type="paragraph" w:styleId="PrformatHTML">
    <w:name w:val="HTML Preformatted"/>
    <w:basedOn w:val="Normal"/>
    <w:link w:val="PrformatHTMLCar"/>
    <w:uiPriority w:val="99"/>
    <w:unhideWhenUsed/>
    <w:rsid w:val="003E5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E5723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77109"/>
  </w:style>
  <w:style w:type="paragraph" w:styleId="NormalWeb">
    <w:name w:val="Normal (Web)"/>
    <w:basedOn w:val="Normal"/>
    <w:uiPriority w:val="99"/>
    <w:unhideWhenUsed/>
    <w:rsid w:val="00B164F0"/>
    <w:pPr>
      <w:spacing w:before="100" w:beforeAutospacing="1" w:after="100" w:afterAutospacing="1"/>
    </w:pPr>
    <w:rPr>
      <w:lang w:val="fr-FR" w:eastAsia="fr-FR"/>
    </w:rPr>
  </w:style>
  <w:style w:type="paragraph" w:styleId="Paragraphedeliste">
    <w:name w:val="List Paragraph"/>
    <w:basedOn w:val="Normal"/>
    <w:uiPriority w:val="34"/>
    <w:qFormat/>
    <w:rsid w:val="00A07835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136C43"/>
    <w:pPr>
      <w:autoSpaceDE w:val="0"/>
      <w:autoSpaceDN w:val="0"/>
      <w:adjustRightInd w:val="0"/>
      <w:spacing w:line="241" w:lineRule="atLeast"/>
    </w:pPr>
    <w:rPr>
      <w:rFonts w:ascii="TheSansSemiLight-Plain" w:eastAsia="Times" w:hAnsi="TheSansSemiLight-Plain"/>
      <w:lang w:val="en-US"/>
    </w:rPr>
  </w:style>
  <w:style w:type="character" w:customStyle="1" w:styleId="A0">
    <w:name w:val="A0"/>
    <w:uiPriority w:val="99"/>
    <w:rsid w:val="00136C43"/>
    <w:rPr>
      <w:rFonts w:cs="TheSansSemiLight-Plain"/>
      <w:color w:val="000000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vanderSchoor@binck.n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gardan@binck.f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FA48317F.dotm</Template>
  <TotalTime>8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Binck Brokers N.V.</Company>
  <LinksUpToDate>false</LinksUpToDate>
  <CharactersWithSpaces>3298</CharactersWithSpaces>
  <SharedDoc>false</SharedDoc>
  <HLinks>
    <vt:vector size="6" baseType="variant">
      <vt:variant>
        <vt:i4>655399</vt:i4>
      </vt:variant>
      <vt:variant>
        <vt:i4>0</vt:i4>
      </vt:variant>
      <vt:variant>
        <vt:i4>0</vt:i4>
      </vt:variant>
      <vt:variant>
        <vt:i4>5</vt:i4>
      </vt:variant>
      <vt:variant>
        <vt:lpwstr>mailto:HvanderSchoor@binck.nl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Blokker</dc:creator>
  <cp:lastModifiedBy>Alice Gardan</cp:lastModifiedBy>
  <cp:revision>10</cp:revision>
  <cp:lastPrinted>2016-04-14T08:20:00Z</cp:lastPrinted>
  <dcterms:created xsi:type="dcterms:W3CDTF">2016-04-25T04:56:00Z</dcterms:created>
  <dcterms:modified xsi:type="dcterms:W3CDTF">2016-04-25T05:08:00Z</dcterms:modified>
</cp:coreProperties>
</file>