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Medical Affairs Digital Command Center</w:t>
      </w:r>
    </w:p>
    <w:p>
      <w:pPr>
        <w:jc w:val="center"/>
      </w:pPr>
      <w:r>
        <w:rPr>
          <w:color w:val="0F766E"/>
          <w:sz w:val="32"/>
        </w:rPr>
        <w:t>Phase-wise Product Requirements Document</w:t>
      </w:r>
    </w:p>
    <w:p>
      <w:pPr>
        <w:jc w:val="center"/>
      </w:pPr>
      <w:r>
        <w:rPr>
          <w:i/>
        </w:rPr>
        <w:t>Prepared from the detailed MGP for ClinCommand Medical OS / MedicoExpress</w:t>
      </w:r>
    </w:p>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Field</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Value</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Proposed owner</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Dr. Bhupesh Dewan, Mumbai, Maharashtra, India</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 category</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Enterprise AI-powered operating system for pharmaceutical medical services</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Document version</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Draft v1.0 for stakeholder review</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Prepared date</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06 June 2026</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Implementation note</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No software implementation is initiated until this PRD is reviewed and approved.</w:t>
            </w:r>
          </w:p>
        </w:tc>
      </w:tr>
    </w:tbl>
    <w:p/>
    <w:tbl>
      <w:tblPr>
        <w:tblW w:type="auto" w:w="0"/>
        <w:tblLook w:firstColumn="1" w:firstRow="1" w:lastColumn="0" w:lastRow="0" w:noHBand="0" w:noVBand="1" w:val="04A0"/>
      </w:tblPr>
      <w:tblGrid>
        <w:gridCol w:w="9360"/>
      </w:tblGrid>
      <w:tr>
        <w:trPr>
          <w:tblHeader w:val="true"/>
        </w:trPr>
        <w:tc>
          <w:tcPr>
            <w:tcW w:type="dxa" w:w="9360"/>
            <w:shd w:fill="F4F8FB"/>
            <w:tcBorders>
              <w:top w:val="single" w:sz="4" w:color="BFD7EA"/>
              <w:left w:val="single" w:sz="4" w:color="BFD7EA"/>
              <w:bottom w:val="single" w:sz="4" w:color="BFD7EA"/>
              <w:right w:val="single" w:sz="4" w:color="BFD7EA"/>
            </w:tcBorders>
            <w:tcMar>
              <w:top w:w="140" w:type="dxa"/>
              <w:start w:w="180" w:type="dxa"/>
              <w:bottom w:w="140" w:type="dxa"/>
              <w:end w:w="180" w:type="dxa"/>
            </w:tcMar>
          </w:tcPr>
          <w:p>
            <w:r>
              <w:rPr>
                <w:b/>
                <w:color w:val="0B2545"/>
              </w:rPr>
              <w:t>Core principle:</w:t>
            </w:r>
            <w:r>
              <w:t xml:space="preserve"> Every activity must be SOP-driven, skill-validated, source-backed, human-reviewed, audit-ready, printable, exportable, and configurable.</w:t>
            </w:r>
          </w:p>
        </w:tc>
      </w:tr>
    </w:tbl>
    <w:p/>
    <w:p>
      <w:r>
        <w:br w:type="page"/>
      </w:r>
    </w:p>
    <w:p>
      <w:pPr>
        <w:pStyle w:val="Heading1"/>
      </w:pPr>
      <w:r>
        <w:t>1. Executive Summary</w:t>
      </w:r>
    </w:p>
    <w:p>
      <w:r>
        <w:t>This PRD defines a robust, phase-wise roadmap for a comprehensive enterprise platform that can become a Medical Affairs Digital Command Center for pharmaceutical organizations. The system is intended to combine Medical Affairs, Regulatory Affairs, Clinical Research, Scientific Intelligence, Knowledge Management, SOP Management, Training Management, AI-assisted document generation, and enterprise collaboration into a controlled operating environment.</w:t>
      </w:r>
    </w:p>
    <w:p>
      <w:r>
        <w:t>The proposed product should not behave like a simple chatbot. It should behave like an enterprise medical operating system where user requests are classified, mapped to SOPs and required skills, routed through specialized AI bots, validated against evidence and compliance rules, reviewed by qualified humans, approved through controlled workflows, and archived with a full audit trail.</w:t>
      </w:r>
    </w:p>
    <w:tbl>
      <w:tblPr>
        <w:tblW w:type="auto" w:w="0"/>
        <w:tblLook w:firstColumn="1" w:firstRow="1" w:lastColumn="0" w:lastRow="0" w:noHBand="0" w:noVBand="1" w:val="04A0"/>
      </w:tblPr>
      <w:tblGrid>
        <w:gridCol w:w="9360"/>
      </w:tblGrid>
      <w:tr>
        <w:trPr>
          <w:tblHeader w:val="true"/>
        </w:trPr>
        <w:tc>
          <w:tcPr>
            <w:tcW w:type="dxa" w:w="9360"/>
            <w:shd w:fill="F4F8FB"/>
            <w:tcBorders>
              <w:top w:val="single" w:sz="4" w:color="BFD7EA"/>
              <w:left w:val="single" w:sz="4" w:color="BFD7EA"/>
              <w:bottom w:val="single" w:sz="4" w:color="BFD7EA"/>
              <w:right w:val="single" w:sz="4" w:color="BFD7EA"/>
            </w:tcBorders>
            <w:tcMar>
              <w:top w:w="140" w:type="dxa"/>
              <w:start w:w="180" w:type="dxa"/>
              <w:bottom w:w="140" w:type="dxa"/>
              <w:end w:w="180" w:type="dxa"/>
            </w:tcMar>
          </w:tcPr>
          <w:p>
            <w:r>
              <w:rPr>
                <w:b/>
                <w:color w:val="0B2545"/>
              </w:rPr>
              <w:t>MVP definition:</w:t>
            </w:r>
            <w:r>
              <w:t xml:space="preserve"> An AI-powered, SOP-driven, skill-validated, audit-ready enterprise platform for pharmaceutical Medical Services Departments, supporting medico-marketing, clinical/preclinical research, evidence generation, pharmacovigilance readiness, biostatistics, regulatory support, specialized AI bots, dynamic repositories, validation workflows, and enterprise customization.</w:t>
            </w:r>
          </w:p>
        </w:tc>
      </w:tr>
    </w:tbl>
    <w:p/>
    <w:p>
      <w:pPr>
        <w:pStyle w:val="Heading1"/>
      </w:pPr>
      <w:r>
        <w:t>2. Strategic Product Positioning</w:t>
      </w:r>
    </w:p>
    <w:p>
      <w:r>
        <w:t>The platform should be positioned for senior management as a controlled medical enterprise intelligence layer rather than a generic productivity tool. It should reduce fragmented document work, inconsistent SOP adherence, weak evidence traceability, slow reviews, uncontrolled AI usage, and inspection-readiness risk.</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Benchmark</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Relevant lesson for this product</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Veeva Vault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Controlled content lifecycle, enterprise-grade document governance, role-aware workflows, inspection readiness.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IQVIA Connected Intelligence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Integrated intelligence across data, evidence, analytics, and enterprise decision workflows.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Medidata Rave Platform</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Clinical workflow depth, data governance, controlled study execution, and regulated operational rigor.</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Notion / Confluence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Clear knowledge architecture, searchable pages, collaborative documentation, and approachable information design.</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Linear / Vercel / Stripe Dashboard</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Calm interface, fast task workflows, strong status visibility, elegant data-dense screens.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Microsoft Fluent Design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Enterprise familiarity, accessibility, restrained motion, and predictable component behavior.</w:t>
            </w:r>
          </w:p>
        </w:tc>
      </w:tr>
    </w:tbl>
    <w:p/>
    <w:p>
      <w:pPr>
        <w:pStyle w:val="Heading1"/>
      </w:pPr>
      <w:r>
        <w:t>3. Product Names and Logo Directions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Name option</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Why it may appeal to pharmaceutical management</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ClinCommand Medical OS</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Directly communicates command-center control, clinical seriousness, and operating-system breadth.</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MedicoExpress Command Center</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Connects with the current workspace name and suggests speed plus professional service delivery.</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AegisMed Intelligence</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Signals protection, governance, and trusted medical intelligence.</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RegClin Nexus</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Highlights the convergence of regulatory, clinical, and medical affairs operations.</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PharmaMed Orchestrator</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Frames the platform as the system that coordinates people, evidence, AI, and approvals.</w:t>
            </w:r>
          </w:p>
        </w:tc>
      </w:tr>
    </w:tbl>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Logo concept</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Visual direction</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Management-level message</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AI Shield</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 clean shield formed from a medical cross and neural nodes in navy and teal.</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Trusted AI with compliance protection.</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Evidence Pulse</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 subtle ECG line running through a document page and data node pattern.</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evidence converted into approved outputs.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Command Lens</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Circular lens around a cross, molecule, and checkmark.</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Clear oversight across science, quality, and approvals.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Compass</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Compass mark with cross, document, and audit tick.</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Guided navigation through global regulatory complexity.</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MedAI Monogram</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Modern M/A letterform with a small clinical cross and AI node geometry.</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Premium enterprise identity with medical and AI cues.</w:t>
            </w:r>
          </w:p>
        </w:tc>
      </w:tr>
    </w:tbl>
    <w:p/>
    <w:p>
      <w:pPr>
        <w:pStyle w:val="Heading1"/>
      </w:pPr>
      <w:r>
        <w:t>4. Product Goals and Success Metrics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Goal</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Product success metric</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Business value</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Increase compliant output velocity</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Median cycle time from request to approved deliverable decreases by 30-50%.</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Faster medical, clinical, and regulatory support.</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Improve evidence traceability</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At least 95% of generated claims link to approved sources or are flagged.</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Lower medical/legal/regulatory review risk.</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Improve SOP adherence</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100% of controlled activities require active SOP and validation checklist mapping.</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Inspection-ready operation.</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Centralize knowledge</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Approved documents, SOPs, templates, and product data become searchable from one global search.</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Reduced duplication and knowledge loss.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Enable enterprise governance</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Every draft, review, export, print, email, and approval action is recorded.</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FDA/EMA/MHRA/CDSCO audit readiness.</w:t>
            </w:r>
          </w:p>
        </w:tc>
      </w:tr>
      <w:tr>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Make progress visible</w:t>
            </w:r>
          </w:p>
        </w:tc>
        <w:tc>
          <w:tcPr>
            <w:tcW w:type="dxa" w:w="40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Each development phase ships a UI/UX demo state, workflow storyboard, and acceptance dashboard.</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Stakeholders can see and assess progress continuously.</w:t>
            </w:r>
          </w:p>
        </w:tc>
      </w:tr>
    </w:tbl>
    <w:p/>
    <w:p>
      <w:pPr>
        <w:pStyle w:val="Heading1"/>
      </w:pPr>
      <w:r>
        <w:t>5. Users, Roles, and Permissions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Role</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Primary needs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Key permissions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Affairs Lead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 scientific content, monitor work queues, inspect evidence and claims.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Review, approve, assign, export, view audit.</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Writer</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Generate appraisals, narratives, FAQs, decks, manuscripts, and manuals.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Create drafts, edit, submit for review.</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Affairs User</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Prepare CTD/eCTD trackers, responses, labeling checks, country intelligence.</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Create/review regulatory outputs, approve regulatory sections.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Clinical Research User</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Create protocols, synopses, IB support, CSR drafts, safety narratives.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Create/review clinical documents and study artifacts.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Biostatistician</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Validate statistical outputs, BE analyses, SAPs, AE tables, meta-analysis outputs.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Run/validate statistics, approve statistical sections.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QA / Compliance</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SOP adherence, approval workflow, training, signatures, audit history.</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release, lock, escalate, inspect trails.</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Configure modules, products, therapy areas, SOPs, skills, bots, templates, workflows.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Full configuration and role administration.</w:t>
            </w:r>
          </w:p>
        </w:tc>
      </w:tr>
      <w:tr>
        <w:tc>
          <w:tcPr>
            <w:tcW w:type="dxa" w:w="21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Field / MSL User</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Request approved field support documents, FAQs, HCP decks, KOL briefs.</w:t>
            </w:r>
          </w:p>
        </w:tc>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Request, view approved content, submit feedback.</w:t>
            </w:r>
          </w:p>
        </w:tc>
      </w:tr>
    </w:tbl>
    <w:p/>
    <w:p>
      <w:pPr>
        <w:pStyle w:val="Heading1"/>
      </w:pPr>
      <w:r>
        <w:t>6. Design Philosophy and UI Principles</w:t>
      </w:r>
    </w:p>
    <w:p>
      <w:pPr>
        <w:pStyle w:val="ListBullet"/>
      </w:pPr>
      <w:r>
        <w:t>Start with the operating dashboard, not a marketing landing page.</w:t>
      </w:r>
    </w:p>
    <w:p>
      <w:pPr>
        <w:pStyle w:val="ListBullet"/>
      </w:pPr>
      <w:r>
        <w:t>Use a calm clinical enterprise palette: white, navy, teal, slate, soft amber for warnings, and red only for critical alerts.</w:t>
      </w:r>
    </w:p>
    <w:p>
      <w:pPr>
        <w:pStyle w:val="ListBullet"/>
      </w:pPr>
      <w:r>
        <w:t>Keep information dense but organized; support scanning, sorting, filters, approvals, and repeated daily work.</w:t>
      </w:r>
    </w:p>
    <w:p>
      <w:pPr>
        <w:pStyle w:val="ListBullet"/>
      </w:pPr>
      <w:r>
        <w:t>Adopt familiar enterprise patterns: left navigation, global search, task queues, status chips, review side panels, source drawers, and audit timelines.</w:t>
      </w:r>
    </w:p>
    <w:p>
      <w:pPr>
        <w:pStyle w:val="ListBullet"/>
      </w:pPr>
      <w:r>
        <w:t>Show progress visibly after every phase through clickable prototypes, workflow states, dashboard metrics, and phase-specific demo scripts.</w:t>
      </w:r>
    </w:p>
    <w:p>
      <w:pPr>
        <w:pStyle w:val="ListBullet"/>
      </w:pPr>
      <w:r>
        <w:t>Make every output status obvious: AI Draft, Validation Pending, Medical Review, Regulatory/QA Review, Approved, Released, Archived.</w:t>
      </w:r>
    </w:p>
    <w:p>
      <w:pPr>
        <w:pStyle w:val="ListBullet"/>
      </w:pPr>
      <w:r>
        <w:t>Maintain accessibility, keyboard navigation, contrast, responsive layouts, and localization readiness from the start.</w:t>
      </w:r>
    </w:p>
    <w:p>
      <w:pPr>
        <w:pStyle w:val="Heading1"/>
      </w:pPr>
      <w:r>
        <w:t>7. End-to-End Controlled Workflow</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Step</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System behavior</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Control point</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1. User request</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User submits request from dashboard, module, document, or global search.</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Request logged with user identity and timestamp.</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2. Activity classification</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System identifies activity type, product, therapy area, country, intended audience, and risk category.</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Incorrect or ambiguous classification requires user confirmation.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3. SOP and skill check</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System maps the request to active SOP, required skill, reviewer skill, and validation checklist.</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Task cannot proceed if mandatory SOP is inactive unless deviation is approved.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4. Bot orchestration</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Relevant specialized bot or multi-bot workflow is launched.</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 selection and prompt context are recorded.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5. Draft generation</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Draft is generated with source traceability and unsupported claim flags.</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Sources and knowledge base versions are attached.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6. Validation</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Center runs source, SOP, medical, regulatory, statistical, privacy, and claim checks.</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Failed checks route to revision or escalation.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7. Human review</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Qualified reviewer comments, edits, approves, rejects, or requests revision.</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Electronic sign-off and reviewer competency recorded.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8. Release and archive</w:t>
            </w:r>
          </w:p>
        </w:tc>
        <w:tc>
          <w:tcPr>
            <w:tcW w:type="dxa" w:w="576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Approved output is exported, printed, emailed, shared, or archived.</w:t>
            </w:r>
          </w:p>
        </w:tc>
        <w:tc>
          <w:tcPr>
            <w:tcW w:type="dxa" w:w="259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distribution, print, export, and approval events remain auditable.</w:t>
            </w:r>
          </w:p>
        </w:tc>
      </w:tr>
    </w:tbl>
    <w:p/>
    <w:p>
      <w:pPr>
        <w:pStyle w:val="Heading1"/>
      </w:pPr>
      <w:r>
        <w:t>8. Functional Requirements by Module</w:t>
      </w:r>
    </w:p>
    <w:p>
      <w:pPr>
        <w:pStyle w:val="Heading2"/>
      </w:pPr>
      <w:r>
        <w:t>8.1 Core Enterprise Platform</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CORE-001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an operational dashboard with task queues, reviews, bot activity, alerts, audit readiness, and satisfaction score.</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Dashboard displays role-specific panels and supports drill-down.</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CORE-002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global search across SOPs, skills, products, trials, literature, guidelines, competitors, submissions, approved documents, audit logs, and AI outputs.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Search returns typed results with filters and permission controls.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CORE-003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an Admin Console for service areas, modules, bots, SOPs, skills, templates, approval hierarchies, countries, therapy areas, and products.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can add/edit/retire controlled configuration without code changes.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CORE-004</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future modules including PV, HEOR, market access, QA/QC, manufacturing support, literature intelligence, global submissions, eCTD publishing, CTMS, and eTMF.</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New module shell can be configured with navigation, workflow, roles, and output templates.</w:t>
            </w:r>
          </w:p>
        </w:tc>
      </w:tr>
    </w:tbl>
    <w:p/>
    <w:p>
      <w:pPr>
        <w:pStyle w:val="Heading2"/>
      </w:pPr>
      <w:r>
        <w:t>8.2 SOP Repository</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Create, upload, edit, version, approve, retire, archive, and search SOPs.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 lifecycle includes owner, effective date, review date, version, and status.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Map SOPs to activities, required skills, templates, bots, validation checklists, and training assignments.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Activity launch shows applicable SOP and blocks missing mandatory mapping.</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Notify impacted users when SOPs change and require training acknowledgement where configured.</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Change notices and completion records are visible in audit trail.</w:t>
            </w:r>
          </w:p>
        </w:tc>
      </w:tr>
    </w:tbl>
    <w:p/>
    <w:p>
      <w:pPr>
        <w:pStyle w:val="Heading2"/>
      </w:pPr>
      <w:r>
        <w:t>8.3 Skill Repository</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Define skills, levels, certification status, expiry, training requirements, and user-skill mapping.</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 matrix can be filtered by user, role, activity, and expiry risk.</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Require skill checks before task execution and reviewer assignment.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Insufficient skill triggers routing, escalation, or supervised mode.</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Generate skill gap alerts for users, teams, and upcoming review workloads.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dashboard shows gap heatmap and recommended training actions.</w:t>
            </w:r>
          </w:p>
        </w:tc>
      </w:tr>
    </w:tbl>
    <w:p/>
    <w:p>
      <w:pPr>
        <w:pStyle w:val="Heading2"/>
      </w:pPr>
      <w:r>
        <w:t>8.4 AI Bot Command Center</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specialized bots for appraisal, literature, product identification, scientific narrative, deck, KOL, competitor, infographic, training, medical information, publication, preclinical, protocol, BE, biostatistics, clinical operations, CSR, safety narrative, SLR/meta-analysis, PV signal, RWE, regulatory, CTD/eCTD, labeling, SOP, validation, audit, and help.</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 registry shows owner, purpose, allowed modules, data sources, prompts, and validation rules.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multi-bot workflows with visible task chain, handoffs, validation checkpoints, and human review.</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Example HCP launch deck flow can run through deck, literature, competitor, SOP, claims, validation, and reviewer steps.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Maintain bot audit data including prompt/request, context, model, sources, output version, and reviewer outcome.</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Trail can reconstruct bot-assisted activity.</w:t>
            </w:r>
          </w:p>
        </w:tc>
      </w:tr>
    </w:tbl>
    <w:p/>
    <w:p>
      <w:pPr>
        <w:pStyle w:val="Heading2"/>
      </w:pPr>
      <w:r>
        <w:t>8.5 Medico-Marketing and Medical Affairs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product appraisal, literature review, new product identification, narratives, clinical summaries, decks, KOL briefs, competitor intelligence, infographics, MR training, HCP decks, congress coverage, field FAQs, objection handling, medical information responses, MSL tools, newsletters, publication support, posters, manuscripts, advisory board materials, and therapy area assessments.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Each activity has a task launch form, SOP mapping, template, validation checklist, and output formats.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Separate promotional and non-promotional content and flag unsupported, off-label, or non-source-backed claims.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Claims panel displays source status and review decision.</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Store approved versions and prevent release of unapproved drafts.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Only approved status enables external distribution where configured.</w:t>
            </w:r>
          </w:p>
        </w:tc>
      </w:tr>
    </w:tbl>
    <w:p/>
    <w:p>
      <w:pPr>
        <w:pStyle w:val="Heading2"/>
      </w:pPr>
      <w:r>
        <w:t>8.6 Clinical, Preclinical, Evidence, and Biostatistics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a Preclinical Readiness Gate assessing pharmacology, toxicology, safety pharmacology, genotoxicity, reproductive toxicity, carcinogenicity need, PK/PD, dose rationale, animal species relevance, GLP, human starting dose, new drug definition, clinical study need, BE sufficiency, and additional nonclinical study need.</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Gate produces structured readiness decision and evidence gaps.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clinical workflows including protocols, study synopsis, IB support, ICF generation, clinical operations, site management, monitoring plans, timelines, MVRs, study closeout, CSRs, clinical summaries, safety narratives, SLRs, meta-analysis, RWE, and evidence gap analysis.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Each workflow produces controlled drafts and review-ready outputs.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Biostatistics Studio functions including descriptive statistics, CIs, tests, regression, survival basics, sample size, power, missing data, AE tables, subgroup analysis, forest plots, fixed/random effects meta-analysis, sensitivity analysis, and endpoint support.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Statistical output requires biostatistician validation before release.</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CLIN-004</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BE package functions including 2x2 crossover, parallel, replicate design, PK import, Cmax, AUC, log transformation, GMR, 90% CI, ANOVA effects, BE conclusion, and report generation.</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BE report includes calculations, assumptions, SOP, and reviewer sign-off.</w:t>
            </w:r>
          </w:p>
        </w:tc>
      </w:tr>
    </w:tbl>
    <w:p/>
    <w:p>
      <w:pPr>
        <w:pStyle w:val="Heading2"/>
      </w:pPr>
      <w:r>
        <w:t>8.7 Regulatory Support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CTD module preparation, eCTD documents, health authority responses, deficiency responses, IND/NDA/MAA support, regulatory intelligence, guideline tracking, agency updates, landscape reviews, submission planning/tracking, variation management, labeling, artwork, SOP review, CAPA, and audit readiness.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workbench shows dossier map, deadlines, deficiency class, owner, status, and output package.</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Map CTD/eCTD content with Module 1 regional handling and common Modules 2-5 structure.</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Dossier tracker supports module-level status, source references, and readiness score.</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Draft regulatory responses with source-backed statements, response history, and approval workflow.</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Response package includes final PDF/DOCX, reviewer sign-offs, and audit history.</w:t>
            </w:r>
          </w:p>
        </w:tc>
      </w:tr>
    </w:tbl>
    <w:p/>
    <w:p>
      <w:pPr>
        <w:pStyle w:val="Heading2"/>
      </w:pPr>
      <w:r>
        <w:t>8.8 Document Generation and Output Management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Generate DOCX, XLSX, PPTX, PDF, Markdown, RTF, HTML, XML, CSV, JSON, PNG, SVG, and JPG where appropriate by module.</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Output menu displays enabled formats per document type and role.</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Generate publication-ready PDFs for regulatory PDFs, clinical reports, product appraisals, training manuals, medical monographs, SOPs, and dossiers.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PDF preview shows headers, footers, page numbers, watermark, and print settings.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Generate journal manuscript templates, poster layouts, conference abstracts, scientific slide decks, infographics, graphs, medical illustrations, and competitor analysis visuals.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Outputs follow selected template and preserve formatting.</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DOC-004</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one-click print and advanced print settings for A4, Letter, Legal, portrait, landscape, and custom margins.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Print preview shows pagination, headers, footers, and watermarks before printing.</w:t>
            </w:r>
          </w:p>
        </w:tc>
      </w:tr>
    </w:tbl>
    <w:p/>
    <w:p>
      <w:pPr>
        <w:pStyle w:val="Heading2"/>
      </w:pPr>
      <w:r>
        <w:t>8.9 Email, Collaboration, and Approval</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COLLAB-001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a communication engine for generated reports, monographs, newsletters, meeting invitations, regulatory responses, and notifications.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Users can send approved content with allowed attachments and tracked recipients.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COLLAB-002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attachments including DOCX, PDF, XLSX, PPTX, and ZIP packages.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Attachment permissions and approval status are enforced.</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COLLAB-003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Provide templates for regulatory responses, advisory board invitations, KOL communications, medical information responses, and training notifications.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Template library supports version and owner metadata.</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COLLAB-004</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Enable internal sharing with medical, regulatory, clinical, marketing, QA, and leadership teams.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Shared document shows comments, approvals, access, and audit history.</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COLLAB-005</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Support reviewer comments, electronic sign-off, approval history, and controlled release.</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Approval workflow records reviewer, date/time, decision, comments, and version.</w:t>
            </w:r>
          </w:p>
        </w:tc>
      </w:tr>
    </w:tbl>
    <w:p/>
    <w:p>
      <w:pPr>
        <w:pStyle w:val="Heading2"/>
      </w:pPr>
      <w:r>
        <w:t>8.10 Validation, Audit, Security, and Feedback</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ID</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Priority</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Acceptance signal</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GOV-001</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Center must check source, SOP, skill, medical accuracy, statistical accuracy, regulatory compliance, promotional claim risk, off-label risk, safety language, plagiarism/copyright risk, data privacy, and human approval.</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report must be attached before release.</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GOV-002</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Trail must record document creation/modification/printing/export/email, approval actions, user login history, bot use, SOP and knowledge base versions, and reviewer comments.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log can reconstruct every controlled activity.</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GOV-003</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Security Center must support RBAC, product/therapy/country access, MFA/SSO readiness, encryption, PHI/PII detection, redaction, download controls, watermarking, session logs, and AI usage logs.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P0</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can view access matrix and security events.</w:t>
            </w:r>
          </w:p>
        </w:tc>
      </w:tr>
      <w:tr>
        <w:tc>
          <w:tcPr>
            <w:tcW w:type="dxa" w:w="11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GOV-004</w:t>
            </w:r>
          </w:p>
        </w:tc>
        <w:tc>
          <w:tcPr>
            <w:tcW w:type="dxa" w:w="432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Customer Feedback Center must capture usefulness, accuracy, turnaround time, ease of use, satisfaction, complaints, escalations, and improvement suggestions.</w:t>
            </w:r>
          </w:p>
        </w:tc>
        <w:tc>
          <w:tcPr>
            <w:tcW w:type="dxa" w:w="129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P1</w:t>
            </w:r>
          </w:p>
        </w:tc>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Feedback metrics roll up by module, product, and team.</w:t>
            </w:r>
          </w:p>
        </w:tc>
      </w:tr>
    </w:tbl>
    <w:p/>
    <w:p>
      <w:pPr>
        <w:pStyle w:val="Heading1"/>
      </w:pPr>
      <w:r>
        <w:t>9. Regulatory and Quality Design Anchors</w:t>
      </w:r>
    </w:p>
    <w:p>
      <w:r>
        <w:t>The PRD should be interpreted as a product planning document, not a legal or regulatory opinion. However, the product architecture should be designed to support controlled records, validation, traceability, risk-based quality, and inspection readiness. The following anchors should inform future detailed design, validation planning, and legal review.</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Anchor</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Product implication</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ICH M4 CTD</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modules should support the five-module CTD model, with Module 1 region-specific and Modules 2-5 common across regions.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ICH M3(R2)</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Readiness Gate should evaluate nonclinical safety readiness before human trials and marketing authorization planning.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ICH E6(R3) GCP</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Clinical workflows should support risk-based quality, data governance, documented responsibilities, participant protection, and reliable results.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21 CFR Part 11</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Electronic records/signatures should be designed for controlled access, audit trails, record integrity, and inspection readiness where Part 11 applies.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EU GMP Annex 11</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Computerized-system expectations should inform validation, access control, audit trails, data integrity, and operational controls.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MHRA/OECD data integrity principles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Data and records should support ALCOA+ style expectations: attributable, legible, contemporaneous, original, accurate, complete, consistent, enduring, and available.</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EMA GVP modules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PV expansion should later support adverse reaction reporting, aggregate reports, signal management, and risk management workflows.</w:t>
            </w:r>
          </w:p>
        </w:tc>
      </w:tr>
    </w:tbl>
    <w:p/>
    <w:p>
      <w:pPr>
        <w:pStyle w:val="Heading1"/>
      </w:pPr>
      <w:r>
        <w:t>10. Phase-wise Roadmap</w:t>
      </w:r>
    </w:p>
    <w:p>
      <w:r>
        <w:t>The roadmap is intentionally broken into 15 phases so stakeholders can review usable UI/UX progress after every phase. Each phase should end with a visible product increment: clickable prototype, demo workflow, dashboard state, acceptance report, and updated requirement traceability.</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Phase</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Module focus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Core scope</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UI/UX progress view</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Exit criterion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 Foundation and Enterprise Shell</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Dashboard, left navigation, global search shell, role model, product/therapy/country configuration, design system, page templates.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Interactive dashboard prototype with sidebar, task queues, search results, alert cards, and status chips.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Navigation and shell are approved by product owner and core stakeholder group.</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2</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 Repository and Governance Mapping</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 lifecycle, SOP-to-activity mapping, effective/review dates, owner, version, retirement, notifications, deviation logging.</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 library UI with version timeline, activity mapping view, and SOP-required task launch guard.</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Controlled activity cannot launch without active SOP or approved deviation.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3</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 Repository and Training Readiness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 definitions, skill levels, certification, expiry, user mapping, training assignment, reviewer eligibility, gap alerts.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 matrix, competency dashboard, expiry warnings, and activity-level skill check modal.</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Task routing respects skill requirements and reviewer qualification rules.</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4</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AI Bot Command Center</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 registry, bot permissions, prompt context rules, multi-bot workflow composer, bot audit logs, validation handoff.</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 command UI showing active bots, handoffs, source context, validation queue, and bot history.</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Example multi-bot deck workflow can be simulated end to end.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5</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Knowledge Center and Global Search</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Knowledge ingestion model, product data, literature, guidelines, trials, competitors, approved claims, templates, source versioning.</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Search experience with filters, source cards, preview drawer, and permission-aware results.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Search retrieves governed sources and attaches selected sources to task context.</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6</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Affairs Core Workflows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 appraisal, literature review, medical information responses, FAQs, KOL briefs, slide decks, competitor intelligence, MR training.</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Affairs workbench with pop-out tabs, request forms, draft editor, claim/source drawer, and review status.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At least five core medical workflows generate controlled drafts with SOP and source mapping.</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7</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Document Production System</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DOCX/XLSX/PPTX/PDF generation, publication templates, graphics export, print preview, watermarks, headers/footers, ZIP packaging.</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Document output panel with format selection, template preview, print settings, and export history.</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Approved output can be previewed, exported, printed, and archived with audit event capture.</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8</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Center</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Source checks, unsupported claim flags, medical/statistical/regulatory checks, privacy checks, promotional/non-promotional separation, review routing.</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dashboard with failed checks, risk labels, remediation notes, and reviewer assignment.</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No controlled output can be released without completed validation and human decision.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9</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Approval, Collaboration, and Communication</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Reviewer comments, electronic sign-off, approval history, internal sharing, email templates, attachments, meeting invitations, notifications.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Review workspace with comment threads, sign-off panel, email composer, and distribution history.</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Approved documents can be shared and sent according to permission and output status rules.</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10</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and Clinical Readiness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readiness gate, protocol builder, synopsis, IB support, ICF generation, monitoring plans, clinical operations, study timelines.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Clinical workbench with readiness checklist, evidence gaps, protocol sections, and study status timeline.</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gate produces structured readiness output and documented gap list.</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11</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Biostatistics and Bioequivalence Studio</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Statistical tests, sample size/power, AE tables, subgroup analysis, forest plots, meta-analysis, BE designs, PK imports, GMR, 90% CI, BE report.</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 studio UI with data import, analysis selection, calculation output, reviewer validation, and report preview.</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Statistical and BE outputs require biostatistician validation before release.</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12</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Workbench</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CTD/eCTD tracker, deficiency responses, labeling/artwork review, country intelligence, submission timeline, CAPA support, audit readiness.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dashboard with dossier map, module status, deficiency tracker, response builder, and label claim checks.</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response package can be drafted, reviewed, approved, exported, and archived.</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13</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Security, and Inspection Readiness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trail, login/session logs, export/print/email logs, RBAC, SSO/MFA readiness, PII/PHI detection, redaction, download control.</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console with activity reconstruction, access matrix, redaction workflow, and inspection-ready report.</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can reconstruct a full activity trail from request to release.</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14</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Configuration and Future Module Builder</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Custom activity builder, workflow builder, bot builder, template builder, country rules, product portfolios, therapy areas, user permissions.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configuration UI with module builder, workflow canvas, template manager, and change impact preview.</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can configure a new controlled activity without code-level redesign.</w:t>
            </w:r>
          </w:p>
        </w:tc>
      </w:tr>
      <w:tr>
        <w:tc>
          <w:tcPr>
            <w:tcW w:type="dxa" w:w="10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Phase 15</w:t>
            </w:r>
          </w:p>
        </w:tc>
        <w:tc>
          <w:tcPr>
            <w:tcW w:type="dxa" w:w="194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Enterprise Scale, Integrations, and Launch Readiness</w:t>
            </w:r>
          </w:p>
        </w:tc>
        <w:tc>
          <w:tcPr>
            <w:tcW w:type="dxa" w:w="295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Integrations readiness for EDC, eTMF, CTMS, RTSM, CDMS, PV, DMS, identity, email; performance, UAT, validation package, rollout playbooks.</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Launch command center with integration status, UAT progress, training completion, validation evidence, and cutover checklist.</w:t>
            </w:r>
          </w:p>
        </w:tc>
        <w:tc>
          <w:tcPr>
            <w:tcW w:type="dxa" w:w="223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Production readiness review confirms security, validation, training, support, and governance criteria.</w:t>
            </w:r>
          </w:p>
        </w:tc>
      </w:tr>
    </w:tbl>
    <w:p/>
    <w:p>
      <w:pPr>
        <w:pStyle w:val="Heading1"/>
      </w:pPr>
      <w:r>
        <w:t>11. Phase Detail and Acceptance Criteria</w:t>
      </w:r>
    </w:p>
    <w:p>
      <w:pPr>
        <w:pStyle w:val="Heading2"/>
      </w:pPr>
      <w:r>
        <w:t>Phase 1: Product Foundation and Enterprise Shell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Dashboard, left navigation, global search shell, role model, product/therapy/country configuration, design system, page templates.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Interactive dashboard prototype with sidebar, task queues, search results, alert cards, and status chips.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Navigation and shell are approved by product owner and core stakeholder group.</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2: SOP Repository and Governance Mapping</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 lifecycle, SOP-to-activity mapping, effective/review dates, owner, version, retirement, notifications, deviation logging.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 library UI with version timeline, activity mapping view, and SOP-required task launch guard.</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Controlled activity cannot launch without active SOP or approved deviation.</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3: Skill Repository and Training Readiness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 definitions, skill levels, certification, expiry, user mapping, training assignment, reviewer eligibility, gap alerts.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Skill matrix, competency dashboard, expiry warnings, and activity-level skill check modal.</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Task routing respects skill requirements and reviewer qualification rules.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4: AI Bot Command Center</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 registry, bot permissions, prompt context rules, multi-bot workflow composer, bot audit logs, validation handoff.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Bot command UI showing active bots, handoffs, source context, validation queue, and bot history.</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Example multi-bot deck workflow can be simulated end to end.</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5: Knowledge Center and Global Search</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Knowledge ingestion model, product data, literature, guidelines, trials, competitors, approved claims, templates, source versioning.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Search experience with filters, source cards, preview drawer, and permission-aware results.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Search retrieves governed sources and attaches selected sources to task context.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6: Medical Affairs Core Workflows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 appraisal, literature review, medical information responses, FAQs, KOL briefs, slide decks, competitor intelligence, MR training.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Affairs workbench with pop-out tabs, request forms, draft editor, claim/source drawer, and review status.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At least five core medical workflows generate controlled drafts with SOP and source mapping.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7: Document Production System</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DOCX/XLSX/PPTX/PDF generation, publication templates, graphics export, print preview, watermarks, headers/footers, ZIP packaging.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Document output panel with format selection, template preview, print settings, and export history.</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Approved output can be previewed, exported, printed, and archived with audit event capture.</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8: Validation Center</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Source checks, unsupported claim flags, medical/statistical/regulatory checks, privacy checks, promotional/non-promotional separation, review routing.</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dashboard with failed checks, risk labels, remediation notes, and reviewer assignment.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No controlled output can be released without completed validation and human decision.</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9: Approval, Collaboration, and Communication</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Reviewer comments, electronic sign-off, approval history, internal sharing, email templates, attachments, meeting invitations, notifications.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Review workspace with comment threads, sign-off panel, email composer, and distribution history.</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Approved documents can be shared and sent according to permission and output status rules.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10: Preclinical and Clinical Readiness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readiness gate, protocol builder, synopsis, IB support, ICF generation, monitoring plans, clinical operations, study timelines.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Clinical workbench with readiness checklist, evidence gaps, protocol sections, and study status timeline.</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gate produces structured readiness output and documented gap list.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11: Biostatistics and Bioequivalence Studio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Statistical tests, sample size/power, AE tables, subgroup analysis, forest plots, meta-analysis, BE designs, PK imports, GMR, 90% CI, BE report.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 studio UI with data import, analysis selection, calculation output, reviewer validation, and report preview.</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Statistical and BE outputs require biostatistician validation before release.</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12: Regulatory Workbench</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CTD/eCTD tracker, deficiency responses, labeling/artwork review, country intelligence, submission timeline, CAPA support, audit readiness.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dashboard with dossier map, module status, deficiency tracker, response builder, and label claim checks.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response package can be drafted, reviewed, approved, exported, and archived.</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13: Audit, Security, and Inspection Readiness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trail, login/session logs, export/print/email logs, RBAC, SSO/MFA readiness, PII/PHI detection, redaction, download control.</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Audit console with activity reconstruction, access matrix, redaction workflow, and inspection-ready report.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can reconstruct a full activity trail from request to release.</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14: Admin Configuration and Future Module Builder</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Custom activity builder, workflow builder, bot builder, template builder, country rules, product portfolios, therapy areas, user permissions.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configuration UI with module builder, workflow canvas, template manager, and change impact preview.</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Admin can configure a new controlled activity without code-level redesign.</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2"/>
      </w:pPr>
      <w:r>
        <w:t>Phase 15: Enterprise Scale, Integrations, and Launch Readiness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Dimension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objective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Integrations readiness for EDC, eTMF, CTMS, RTSM, CDMS, PV, DMS, identity, email; performance, UAT, validation package, rollout playbooks.</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Visible UI/UX progress</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Launch command center with integration status, UAT progress, training completion, validation evidence, and cutover checklist.</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Primary acceptance criterion</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Production readiness review confirms security, validation, training, support, and governance criteria.</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Demonstration package</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Clickable prototype or working front-end demo, phase storyboard, sample data, workflow walkthrough, acceptance checklist, risk log, and stakeholder sign-off.</w:t>
            </w:r>
          </w:p>
        </w:tc>
      </w:tr>
      <w:tr>
        <w:tc>
          <w:tcPr>
            <w:tcW w:type="dxa" w:w="230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Traceability requirement</w:t>
            </w:r>
          </w:p>
        </w:tc>
        <w:tc>
          <w:tcPr>
            <w:tcW w:type="dxa" w:w="691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All features delivered in the phase must map to PRD requirement IDs, SOP/skill dependencies, validation expectations, and audit events where applicable.</w:t>
            </w:r>
          </w:p>
        </w:tc>
      </w:tr>
    </w:tbl>
    <w:p/>
    <w:p>
      <w:pPr>
        <w:pStyle w:val="Heading1"/>
      </w:pPr>
      <w:r>
        <w:t>12. Output Format Framework</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Output category</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Supported formats</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Typical use cases</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Microsoft Office</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DOCX, XLSX, PPTX</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Reports, appraisals, SOPs, data tables, slide decks, training manuals.</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PDF</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PDF, clinical report PDF, product appraisal PDF, training manual PDF, monograph PDF</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Publication-ready controlled documents, inspection packages, release archives.</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Scientific and structured</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Markdown, RTF, HTML, XML, CSV, JSON</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Scientific drafts, web-ready content, structured data exchange, audit exports.</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Publication</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Journal manuscript, poster layout, conference abstract, scientific slide deck</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Publications, congress support, advisory boards, external scientific communication.</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Graphic</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PNG, SVG, JPG</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Infographics, graphs, medical illustrations, competitor comparisons, dashboard snapshots.</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Print</w:t>
            </w:r>
          </w:p>
        </w:tc>
        <w:tc>
          <w:tcPr>
            <w:tcW w:type="dxa" w:w="3024"/>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A4, Letter, Legal; portrait, landscape; custom margins</w:t>
            </w:r>
          </w:p>
        </w:tc>
        <w:tc>
          <w:tcPr>
            <w:tcW w:type="dxa" w:w="417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SOPs, reports, appraisals, manuals, dossiers, clinical reports.</w:t>
            </w:r>
          </w:p>
        </w:tc>
      </w:tr>
    </w:tbl>
    <w:p/>
    <w:p>
      <w:pPr>
        <w:pStyle w:val="Heading1"/>
      </w:pPr>
      <w:r>
        <w:t>13. Non-Functional Requirements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Area</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Requirement</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Availability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Target enterprise uptime should be defined during architecture, with monitoring and incident response from MVP scale onward.</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Performance</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Dashboard and search interactions should feel immediate for common tasks; large document generation may run asynchronously with status tracking.</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Security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RBAC, least privilege, encryption, identity integration, MFA readiness, access logs, and configurable data retention are required.</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Privacy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PII/PHI detection, redaction, restricted sharing, download controls, and audit visibility are required for sensitive content.</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System should support future computerized system validation artifacts: URS, FRS, risk assessment, test scripts, traceability matrix, and change control.</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AI governance</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AI outputs must be source-linked, confidence/risk-labeled, human-reviewed, and blocked from final release without approval.</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Accessibility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The UI should target WCAG-aligned enterprise accessibility: keyboard use, contrast, focus states, readable type, and screen-reader labels.</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Localization</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Architecture should support country-specific rules, regional templates, date/time/time-zone handling, and future language expansion.</w:t>
            </w:r>
          </w:p>
        </w:tc>
      </w:tr>
      <w:tr>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Interoperability</w:t>
            </w:r>
          </w:p>
        </w:tc>
        <w:tc>
          <w:tcPr>
            <w:tcW w:type="dxa" w:w="720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Integration architecture should prepare for EDC, CTMS, eTMF, DMS, PV, regulatory intelligence, identity, and email systems.</w:t>
            </w:r>
          </w:p>
        </w:tc>
      </w:tr>
    </w:tbl>
    <w:p/>
    <w:p>
      <w:pPr>
        <w:pStyle w:val="Heading1"/>
      </w:pPr>
      <w:r>
        <w:t>14. MVP Scope and Deferred Scope</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Included in MVP</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Deferred / future expansion</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Dashboard, navigation, search shell, admin configuration, SOP and skill repositories.</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Full enterprise integration with all external systems.</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Core AI bot command center and controlled multi-bot workflows.</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Autonomous release of medical/regulatory outputs without human review.</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Affairs core workflows and document generation.</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Full PV case processing and regulatory-grade signal detection engine.</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Preclinical readiness checklist and clinical document drafting support.</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Full CTMS/eTMF replacement.</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Basic Biostatistics and Bioequivalence Studio with reviewer validation.</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Advanced validated statistical computing environment replacing specialist tools.</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response and CTD/eCTD readiness tracker.</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Full eCTD publishing and global submission management.</w:t>
            </w:r>
          </w:p>
        </w:tc>
      </w:tr>
      <w:tr>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Validation Center, audit trail, security center, feedback center, help center, legal page.</w:t>
            </w:r>
          </w:p>
        </w:tc>
        <w:tc>
          <w:tcPr>
            <w:tcW w:type="dxa" w:w="460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Manufacturing, QC, QA, HEOR, market access, and RMP modules beyond readiness placeholders.</w:t>
            </w:r>
          </w:p>
        </w:tc>
      </w:tr>
    </w:tbl>
    <w:p/>
    <w:p>
      <w:pPr>
        <w:pStyle w:val="Heading1"/>
      </w:pPr>
      <w:r>
        <w:t>15. Risks, Controls, and Open Decisions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Risk / decision</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Recommended control</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AI hallucination or unsupported medical claims</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Mandatory source linking, unsupported claim flags, validation checklist, human approval, and release lock.</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misuse of draft outputs</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Clear draft status, watermarking, approval gates, role permissions, and legal disclaimers.</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Overly broad MVP</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Use 15-phase roadmap and define P0/P1 gates; demo progress after each phase rather than attempting all workflows at once.</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Insufficient validation for regulated use</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Plan computerized system validation artifacts before regulated production deployment.</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Data privacy exposure</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PII/PHI detection, redaction, access control, secure logging, and restricted export policies.</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Inconsistent SOP mapping</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Activity cannot proceed without an active SOP or approved deviation record.</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Management naming/branding decision</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Shortlist names and logo directions, then validate with leadership, medical, regulatory, and IT stakeholders.</w:t>
            </w:r>
          </w:p>
        </w:tc>
      </w:tr>
      <w:tr>
        <w:tc>
          <w:tcPr>
            <w:tcW w:type="dxa" w:w="316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Buy vs build integrations</w:t>
            </w:r>
          </w:p>
        </w:tc>
        <w:tc>
          <w:tcPr>
            <w:tcW w:type="dxa" w:w="60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Decide integration priority during Phase 15 based on target customer environment and vendor ecosystem.</w:t>
            </w:r>
          </w:p>
        </w:tc>
      </w:tr>
    </w:tbl>
    <w:p/>
    <w:p>
      <w:pPr>
        <w:pStyle w:val="Heading1"/>
      </w:pPr>
      <w:r>
        <w:t>16. Governance and Review Cadence</w:t>
      </w:r>
    </w:p>
    <w:p>
      <w:pPr>
        <w:pStyle w:val="ListBullet"/>
      </w:pPr>
      <w:r>
        <w:t>Set up a PRD approval board with product owner, medical affairs, regulatory, clinical, QA, IT/security, legal, and representative end users.</w:t>
      </w:r>
    </w:p>
    <w:p>
      <w:pPr>
        <w:pStyle w:val="ListBullet"/>
      </w:pPr>
      <w:r>
        <w:t>Convert this PRD into a requirement traceability matrix before implementation begins.</w:t>
      </w:r>
    </w:p>
    <w:p>
      <w:pPr>
        <w:pStyle w:val="ListBullet"/>
      </w:pPr>
      <w:r>
        <w:t>Hold phase-gate reviews after every phase: UI/UX walkthrough, requirement coverage, risk review, validation impact, and stakeholder sign-off.</w:t>
      </w:r>
    </w:p>
    <w:p>
      <w:pPr>
        <w:pStyle w:val="ListBullet"/>
      </w:pPr>
      <w:r>
        <w:t>Maintain a living backlog with P0, P1, P2 priority labels and explicit deferred-scope decisions.</w:t>
      </w:r>
    </w:p>
    <w:p>
      <w:pPr>
        <w:pStyle w:val="ListBullet"/>
      </w:pPr>
      <w:r>
        <w:t>Before production use in regulated workflows, prepare validation documents, SOPs, admin manuals, user manuals, training materials, and support procedures.</w:t>
      </w:r>
    </w:p>
    <w:p>
      <w:pPr>
        <w:pStyle w:val="Heading1"/>
      </w:pPr>
      <w:r>
        <w:t>17. Reference Anchors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Source</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URL</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ICH CTD / M4</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https://admin.ich.org/page/ctd</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ICH M3(R2)</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https://database.ich.org/sites/default/files/M3_R2__Guideline.pdf</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ICH E6(R3) GCP</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https://database.ich.org/sites/default/files/ICH_E6%28R3%29_Step4_FinalGuideline_2025_0106.pdf</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FDA 21 CFR Part 11 guidance</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https://www.fda.gov/regulatory-information/search-fda-guidance-documents/part-11-electronic-records-electronic-signatures-scope-and-application</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eCFR 21 CFR Part 11</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https://www.ecfr.gov/current/title-21/chapter-I/subchapter-A/part-11</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European Commission EudraLex Volume 4</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https://health.ec.europa.eu/medicinal-products/eudralex/eudralex-volume-4_en</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MHRA GxP data integrity guidance</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https://www.gov.uk/government/publications/guidance-on-gxp-data-integrity</w:t>
            </w:r>
          </w:p>
        </w:tc>
      </w:tr>
      <w:tr>
        <w:tc>
          <w:tcPr>
            <w:tcW w:type="dxa" w:w="288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EMA Good Pharmacovigilance Practices</w:t>
            </w:r>
          </w:p>
        </w:tc>
        <w:tc>
          <w:tcPr>
            <w:tcW w:type="dxa" w:w="633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https://www.ema.europa.eu/en/human-regulatory-overview/post-authorisation/pharmacovigilance-post-authorisation/good-pharmacovigilance-practices-gvp</w:t>
            </w:r>
          </w:p>
        </w:tc>
      </w:tr>
    </w:tbl>
    <w:p/>
    <w:p>
      <w:pPr>
        <w:pStyle w:val="Heading1"/>
      </w:pPr>
      <w:r>
        <w:t>18. Approval Status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Reviewer</w:t>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Role</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Decision</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Date</w:t>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shd w:fill="F2F4F7"/>
          </w:tcPr>
          <w:p>
            <w:pPr>
              <w:spacing w:after="40"/>
            </w:pPr>
            <w:r>
              <w:rPr>
                <w:rFonts w:ascii="Calibri" w:hAnsi="Calibri"/>
                <w:b/>
                <w:color w:val="0B2545"/>
                <w:sz w:val="18"/>
              </w:rPr>
              <w:t>Comments</w:t>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Product Owner</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Medical Affairs</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Regulatory Affairs</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Clinical Research</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QA / Compliance</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IT / Security</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r>
        <w:tc>
          <w:tcPr>
            <w:tcW w:type="dxa" w:w="1872"/>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016"/>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t>Legal</w:t>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1440"/>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c>
          <w:tcPr>
            <w:tcW w:type="dxa" w:w="2448"/>
            <w:vAlign w:val="center"/>
            <w:tcBorders>
              <w:top w:val="single" w:sz="4" w:color="D9E2EC"/>
              <w:left w:val="single" w:sz="4" w:color="D9E2EC"/>
              <w:bottom w:val="single" w:sz="4" w:color="D9E2EC"/>
              <w:right w:val="single" w:sz="4" w:color="D9E2EC"/>
            </w:tcBorders>
            <w:tcMar>
              <w:top w:w="100" w:type="dxa"/>
              <w:start w:w="120" w:type="dxa"/>
              <w:bottom w:w="100" w:type="dxa"/>
              <w:end w:w="120" w:type="dxa"/>
            </w:tcMar>
          </w:tcPr>
          <w:p>
            <w:pPr>
              <w:spacing w:after="40"/>
            </w:pPr>
            <w:r>
              <w:rPr>
                <w:rFonts w:ascii="Calibri" w:hAnsi="Calibri"/>
                <w:sz w:val="18"/>
              </w:rPr>
            </w:r>
          </w:p>
        </w:tc>
      </w:tr>
    </w:tbl>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475569"/>
        <w:sz w:val="18"/>
      </w:rPr>
      <w:t>Medical Affairs Digital Command Center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