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37C7B"/>
          <w:sz w:val="26"/>
        </w:rPr>
        <w:t>CLINCOMMAND OS</w:t>
      </w:r>
    </w:p>
    <w:p>
      <w:pPr>
        <w:pStyle w:val="Title"/>
        <w:jc w:val="center"/>
      </w:pPr>
      <w:r>
        <w:t>Product Appraisal</w:t>
        <w:br/>
        <w:t>Trilagliptin</w:t>
      </w:r>
    </w:p>
    <w:p>
      <w:pPr>
        <w:jc w:val="center"/>
      </w:pPr>
      <w:r>
        <w:rPr>
          <w:i/>
          <w:color w:val="18324A"/>
          <w:sz w:val="24"/>
        </w:rPr>
        <w:t>Preliminary India Portfolio and Medical-Strategy Appraisal</w:t>
      </w:r>
    </w:p>
    <w:p/>
    <w:tbl>
      <w:tblPr>
        <w:tblStyle w:val="TableGrid"/>
        <w:tblW w:type="auto" w:w="0"/>
        <w:jc w:val="center"/>
        <w:tblLayout w:type="fixed"/>
        <w:tblLook w:firstColumn="1" w:firstRow="1" w:lastColumn="0" w:lastRow="0" w:noHBand="0" w:noVBand="1" w:val="04A0"/>
      </w:tblPr>
      <w:tblGrid>
        <w:gridCol w:w="5040"/>
        <w:gridCol w:w="5040"/>
      </w:tblGrid>
      <w:tr>
        <w:tc>
          <w:tcPr>
            <w:tcW w:type="dxa" w:w="2592"/>
            <w:vAlign w:val="center"/>
            <w:shd w:fill="137C7B"/>
          </w:tcPr>
          <w:p>
            <w:r/>
            <w:r>
              <w:rPr>
                <w:rFonts w:ascii="Aptos" w:hAnsi="Aptos"/>
                <w:b/>
                <w:color w:val="FFFFFF"/>
                <w:sz w:val="17"/>
              </w:rPr>
              <w:t>Control Field</w:t>
            </w:r>
          </w:p>
        </w:tc>
        <w:tc>
          <w:tcPr>
            <w:tcW w:type="dxa" w:w="7632"/>
            <w:vAlign w:val="center"/>
            <w:shd w:fill="137C7B"/>
          </w:tcPr>
          <w:p>
            <w:r/>
            <w:r>
              <w:rPr>
                <w:rFonts w:ascii="Aptos" w:hAnsi="Aptos"/>
                <w:b/>
                <w:color w:val="FFFFFF"/>
                <w:sz w:val="17"/>
              </w:rPr>
              <w:t>Value</w:t>
            </w:r>
          </w:p>
        </w:tc>
      </w:tr>
      <w:tr>
        <w:tc>
          <w:tcPr>
            <w:tcW w:type="dxa" w:w="2592"/>
            <w:vAlign w:val="center"/>
            <w:shd w:fill="FFFFFF"/>
          </w:tcPr>
          <w:p>
            <w:r/>
            <w:r>
              <w:rPr>
                <w:rFonts w:ascii="Aptos" w:hAnsi="Aptos"/>
                <w:b w:val="0"/>
                <w:sz w:val="17"/>
              </w:rPr>
              <w:t>Qualification run</w:t>
            </w:r>
          </w:p>
        </w:tc>
        <w:tc>
          <w:tcPr>
            <w:tcW w:type="dxa" w:w="7632"/>
            <w:vAlign w:val="center"/>
            <w:shd w:fill="FFFFFF"/>
          </w:tcPr>
          <w:p>
            <w:r/>
            <w:r>
              <w:rPr>
                <w:rFonts w:ascii="Aptos" w:hAnsi="Aptos"/>
                <w:b w:val="0"/>
                <w:sz w:val="17"/>
              </w:rPr>
              <w:t>PA-Q1</w:t>
            </w:r>
          </w:p>
        </w:tc>
      </w:tr>
      <w:tr>
        <w:tc>
          <w:tcPr>
            <w:tcW w:type="dxa" w:w="2592"/>
            <w:vAlign w:val="center"/>
            <w:shd w:fill="F2F4F6"/>
          </w:tcPr>
          <w:p>
            <w:r/>
            <w:r>
              <w:rPr>
                <w:rFonts w:ascii="Aptos" w:hAnsi="Aptos"/>
                <w:b w:val="0"/>
                <w:sz w:val="17"/>
              </w:rPr>
              <w:t>Verified INN</w:t>
            </w:r>
          </w:p>
        </w:tc>
        <w:tc>
          <w:tcPr>
            <w:tcW w:type="dxa" w:w="7632"/>
            <w:vAlign w:val="center"/>
            <w:shd w:fill="F2F4F6"/>
          </w:tcPr>
          <w:p>
            <w:r/>
            <w:r>
              <w:rPr>
                <w:rFonts w:ascii="Aptos" w:hAnsi="Aptos"/>
                <w:b w:val="0"/>
                <w:sz w:val="17"/>
              </w:rPr>
              <w:t>Trelagliptin</w:t>
            </w:r>
          </w:p>
        </w:tc>
      </w:tr>
      <w:tr>
        <w:tc>
          <w:tcPr>
            <w:tcW w:type="dxa" w:w="2592"/>
            <w:vAlign w:val="center"/>
            <w:shd w:fill="FFFFFF"/>
          </w:tcPr>
          <w:p>
            <w:r/>
            <w:r>
              <w:rPr>
                <w:rFonts w:ascii="Aptos" w:hAnsi="Aptos"/>
                <w:b w:val="0"/>
                <w:sz w:val="17"/>
              </w:rPr>
              <w:t>Intended use</w:t>
            </w:r>
          </w:p>
        </w:tc>
        <w:tc>
          <w:tcPr>
            <w:tcW w:type="dxa" w:w="7632"/>
            <w:vAlign w:val="center"/>
            <w:shd w:fill="FFFFFF"/>
          </w:tcPr>
          <w:p>
            <w:r/>
            <w:r>
              <w:rPr>
                <w:rFonts w:ascii="Aptos" w:hAnsi="Aptos"/>
                <w:b w:val="0"/>
                <w:sz w:val="17"/>
              </w:rPr>
              <w:t>Internal preliminary portfolio and medical-strategy appraisal</w:t>
            </w:r>
          </w:p>
        </w:tc>
      </w:tr>
      <w:tr>
        <w:tc>
          <w:tcPr>
            <w:tcW w:type="dxa" w:w="2592"/>
            <w:vAlign w:val="center"/>
            <w:shd w:fill="F2F4F6"/>
          </w:tcPr>
          <w:p>
            <w:r/>
            <w:r>
              <w:rPr>
                <w:rFonts w:ascii="Aptos" w:hAnsi="Aptos"/>
                <w:b w:val="0"/>
                <w:sz w:val="17"/>
              </w:rPr>
              <w:t>Evidence cut-off</w:t>
            </w:r>
          </w:p>
        </w:tc>
        <w:tc>
          <w:tcPr>
            <w:tcW w:type="dxa" w:w="7632"/>
            <w:vAlign w:val="center"/>
            <w:shd w:fill="F2F4F6"/>
          </w:tcPr>
          <w:p>
            <w:r/>
            <w:r>
              <w:rPr>
                <w:rFonts w:ascii="Aptos" w:hAnsi="Aptos"/>
                <w:b w:val="0"/>
                <w:sz w:val="17"/>
              </w:rPr>
              <w:t>6 June 2026</w:t>
            </w:r>
          </w:p>
        </w:tc>
      </w:tr>
      <w:tr>
        <w:tc>
          <w:tcPr>
            <w:tcW w:type="dxa" w:w="2592"/>
            <w:vAlign w:val="center"/>
            <w:shd w:fill="FFFFFF"/>
          </w:tcPr>
          <w:p>
            <w:r/>
            <w:r>
              <w:rPr>
                <w:rFonts w:ascii="Aptos" w:hAnsi="Aptos"/>
                <w:b w:val="0"/>
                <w:sz w:val="17"/>
              </w:rPr>
              <w:t>Document status</w:t>
            </w:r>
          </w:p>
        </w:tc>
        <w:tc>
          <w:tcPr>
            <w:tcW w:type="dxa" w:w="7632"/>
            <w:vAlign w:val="center"/>
            <w:shd w:fill="FFFFFF"/>
          </w:tcPr>
          <w:p>
            <w:r/>
            <w:r>
              <w:rPr>
                <w:rFonts w:ascii="Aptos" w:hAnsi="Aptos"/>
                <w:b w:val="0"/>
                <w:sz w:val="17"/>
              </w:rPr>
              <w:t>Qualification draft - not approved for external use or final Go/No-Go decision</w:t>
            </w:r>
          </w:p>
        </w:tc>
      </w:tr>
      <w:tr>
        <w:tc>
          <w:tcPr>
            <w:tcW w:type="dxa" w:w="2592"/>
            <w:vAlign w:val="center"/>
            <w:shd w:fill="F2F4F6"/>
          </w:tcPr>
          <w:p>
            <w:r/>
            <w:r>
              <w:rPr>
                <w:rFonts w:ascii="Aptos" w:hAnsi="Aptos"/>
                <w:b w:val="0"/>
                <w:sz w:val="17"/>
              </w:rPr>
              <w:t>Owner</w:t>
            </w:r>
          </w:p>
        </w:tc>
        <w:tc>
          <w:tcPr>
            <w:tcW w:type="dxa" w:w="7632"/>
            <w:vAlign w:val="center"/>
            <w:shd w:fill="F2F4F6"/>
          </w:tcPr>
          <w:p>
            <w:r/>
            <w:r>
              <w:rPr>
                <w:rFonts w:ascii="Aptos" w:hAnsi="Aptos"/>
                <w:b w:val="0"/>
                <w:sz w:val="17"/>
              </w:rPr>
              <w:t>Dr. Bhupesh Dewan, Mumbai, Maharashtra, India</w:t>
            </w:r>
          </w:p>
        </w:tc>
      </w:tr>
    </w:tbl>
    <w:p>
      <w:pPr>
        <w:spacing w:after="40"/>
      </w:pPr>
    </w:p>
    <w:p>
      <w:pPr>
        <w:spacing w:before="400"/>
        <w:jc w:val="center"/>
      </w:pPr>
      <w:r>
        <w:rPr>
          <w:b/>
          <w:color w:val="A34A00"/>
        </w:rPr>
        <w:t>IMPORTANT LIMITATION</w:t>
        <w:br/>
      </w:r>
      <w:r>
        <w:rPr>
          <w:sz w:val="19"/>
        </w:rPr>
        <w:t>This appraisal is an architecture qualification output. Missing regulatory, patent, legal, pricing, market, CMC, API, supply, and company-strategy information is explicitly classified as data gaps and diligence gaps, not inferred.</w:t>
      </w:r>
    </w:p>
    <w:p>
      <w:r>
        <w:br w:type="page"/>
      </w:r>
    </w:p>
    <w:p>
      <w:pPr>
        <w:pStyle w:val="Heading1"/>
        <w:keepNext/>
      </w:pPr>
      <w:r>
        <w:t>1. Executive Decision Summary</w:t>
      </w:r>
    </w:p>
    <w:tbl>
      <w:tblPr>
        <w:tblStyle w:val="TableGrid"/>
        <w:tblW w:type="auto" w:w="0"/>
        <w:jc w:val="center"/>
        <w:tblLayout w:type="fixed"/>
        <w:tblLook w:firstColumn="1" w:firstRow="1" w:lastColumn="0" w:lastRow="0" w:noHBand="0" w:noVBand="1" w:val="04A0"/>
      </w:tblPr>
      <w:tblGrid>
        <w:gridCol w:w="5040"/>
        <w:gridCol w:w="5040"/>
      </w:tblGrid>
      <w:tr>
        <w:tc>
          <w:tcPr>
            <w:tcW w:type="dxa" w:w="2376"/>
            <w:vAlign w:val="center"/>
            <w:shd w:fill="137C7B"/>
          </w:tcPr>
          <w:p>
            <w:r/>
            <w:r>
              <w:rPr>
                <w:rFonts w:ascii="Aptos" w:hAnsi="Aptos"/>
                <w:b/>
                <w:color w:val="FFFFFF"/>
                <w:sz w:val="17"/>
              </w:rPr>
              <w:t>Decision Item</w:t>
            </w:r>
          </w:p>
        </w:tc>
        <w:tc>
          <w:tcPr>
            <w:tcW w:type="dxa" w:w="7848"/>
            <w:vAlign w:val="center"/>
            <w:shd w:fill="137C7B"/>
          </w:tcPr>
          <w:p>
            <w:r/>
            <w:r>
              <w:rPr>
                <w:rFonts w:ascii="Aptos" w:hAnsi="Aptos"/>
                <w:b/>
                <w:color w:val="FFFFFF"/>
                <w:sz w:val="17"/>
              </w:rPr>
              <w:t>Assessment</w:t>
            </w:r>
          </w:p>
        </w:tc>
      </w:tr>
      <w:tr>
        <w:tc>
          <w:tcPr>
            <w:tcW w:type="dxa" w:w="2376"/>
            <w:vAlign w:val="center"/>
            <w:shd w:fill="FFFFFF"/>
          </w:tcPr>
          <w:p>
            <w:r/>
            <w:r>
              <w:rPr>
                <w:rFonts w:ascii="Aptos" w:hAnsi="Aptos"/>
                <w:b w:val="0"/>
                <w:sz w:val="17"/>
              </w:rPr>
              <w:t>Objective</w:t>
            </w:r>
          </w:p>
        </w:tc>
        <w:tc>
          <w:tcPr>
            <w:tcW w:type="dxa" w:w="7848"/>
            <w:vAlign w:val="center"/>
            <w:shd w:fill="FFFFFF"/>
          </w:tcPr>
          <w:p>
            <w:r/>
            <w:r>
              <w:rPr>
                <w:rFonts w:ascii="Aptos" w:hAnsi="Aptos"/>
                <w:b w:val="0"/>
                <w:sz w:val="17"/>
              </w:rPr>
              <w:t>Assess the opportunity and diligence requirements for a once-weekly DPP-4 inhibitor in type 2 diabetes mellitus.</w:t>
            </w:r>
          </w:p>
        </w:tc>
      </w:tr>
      <w:tr>
        <w:tc>
          <w:tcPr>
            <w:tcW w:type="dxa" w:w="2376"/>
            <w:vAlign w:val="center"/>
            <w:shd w:fill="F2F4F6"/>
          </w:tcPr>
          <w:p>
            <w:r/>
            <w:r>
              <w:rPr>
                <w:rFonts w:ascii="Aptos" w:hAnsi="Aptos"/>
                <w:b w:val="0"/>
                <w:sz w:val="17"/>
              </w:rPr>
              <w:t>Preliminary status</w:t>
            </w:r>
          </w:p>
        </w:tc>
        <w:tc>
          <w:tcPr>
            <w:tcW w:type="dxa" w:w="7848"/>
            <w:vAlign w:val="center"/>
            <w:shd w:fill="F2F4F6"/>
          </w:tcPr>
          <w:p>
            <w:r/>
            <w:r>
              <w:rPr>
                <w:rFonts w:ascii="Aptos" w:hAnsi="Aptos"/>
                <w:b w:val="0"/>
                <w:sz w:val="17"/>
              </w:rPr>
              <w:t>Conditional candidate - diligence required before any Go/No-Go decision</w:t>
            </w:r>
          </w:p>
        </w:tc>
      </w:tr>
      <w:tr>
        <w:tc>
          <w:tcPr>
            <w:tcW w:type="dxa" w:w="2376"/>
            <w:vAlign w:val="center"/>
            <w:shd w:fill="FFFFFF"/>
          </w:tcPr>
          <w:p>
            <w:r/>
            <w:r>
              <w:rPr>
                <w:rFonts w:ascii="Aptos" w:hAnsi="Aptos"/>
                <w:b w:val="0"/>
                <w:sz w:val="17"/>
              </w:rPr>
              <w:t>Recommendation</w:t>
            </w:r>
          </w:p>
        </w:tc>
        <w:tc>
          <w:tcPr>
            <w:tcW w:type="dxa" w:w="7848"/>
            <w:vAlign w:val="center"/>
            <w:shd w:fill="FFFFFF"/>
          </w:tcPr>
          <w:p>
            <w:r/>
            <w:r>
              <w:rPr>
                <w:rFonts w:ascii="Aptos" w:hAnsi="Aptos"/>
                <w:b w:val="0"/>
                <w:sz w:val="17"/>
              </w:rPr>
              <w:t>Proceed only to a structured diligence stage. The once-weekly dosing proposition is differentiated, but Indian regulatory status, commercial opportunity, patent/FTO, API economics, supply readiness, and comparative long-term outcomes require verification.</w:t>
            </w:r>
          </w:p>
        </w:tc>
      </w:tr>
      <w:tr>
        <w:tc>
          <w:tcPr>
            <w:tcW w:type="dxa" w:w="2376"/>
            <w:vAlign w:val="center"/>
            <w:shd w:fill="F2F4F6"/>
          </w:tcPr>
          <w:p>
            <w:r/>
            <w:r>
              <w:rPr>
                <w:rFonts w:ascii="Aptos" w:hAnsi="Aptos"/>
                <w:b w:val="0"/>
                <w:sz w:val="17"/>
              </w:rPr>
              <w:t>Identity/control note</w:t>
            </w:r>
          </w:p>
        </w:tc>
        <w:tc>
          <w:tcPr>
            <w:tcW w:type="dxa" w:w="7848"/>
            <w:vAlign w:val="center"/>
            <w:shd w:fill="F2F4F6"/>
          </w:tcPr>
          <w:p>
            <w:r/>
            <w:r>
              <w:rPr>
                <w:rFonts w:ascii="Aptos" w:hAnsi="Aptos"/>
                <w:b w:val="0"/>
                <w:sz w:val="17"/>
              </w:rPr>
              <w:t>The requested name 'Trilagliptin' was not verified as an established INN. This appraisal uses the verified INN trelagliptin and requires owner confirmation before controlled use.</w:t>
            </w:r>
          </w:p>
        </w:tc>
      </w:tr>
    </w:tbl>
    <w:p>
      <w:pPr>
        <w:spacing w:after="40"/>
      </w:pPr>
    </w:p>
    <w:p>
      <w:pPr>
        <w:pStyle w:val="Heading1"/>
        <w:keepNext/>
      </w:pPr>
      <w:r>
        <w:t>2. Product Identification and Assessment Scope</w:t>
      </w:r>
    </w:p>
    <w:tbl>
      <w:tblPr>
        <w:tblStyle w:val="TableGrid"/>
        <w:tblW w:type="auto" w:w="0"/>
        <w:jc w:val="center"/>
        <w:tblLayout w:type="fixed"/>
        <w:tblLook w:firstColumn="1" w:firstRow="1" w:lastColumn="0" w:lastRow="0" w:noHBand="0" w:noVBand="1" w:val="04A0"/>
      </w:tblPr>
      <w:tblGrid>
        <w:gridCol w:w="5040"/>
        <w:gridCol w:w="5040"/>
      </w:tblGrid>
      <w:tr>
        <w:tc>
          <w:tcPr>
            <w:tcW w:type="dxa" w:w="2592"/>
            <w:vAlign w:val="center"/>
            <w:shd w:fill="18324A"/>
          </w:tcPr>
          <w:p>
            <w:r/>
            <w:r>
              <w:rPr>
                <w:rFonts w:ascii="Aptos" w:hAnsi="Aptos"/>
                <w:b/>
                <w:color w:val="FFFFFF"/>
                <w:sz w:val="17"/>
              </w:rPr>
              <w:t>Field</w:t>
            </w:r>
          </w:p>
        </w:tc>
        <w:tc>
          <w:tcPr>
            <w:tcW w:type="dxa" w:w="7632"/>
            <w:vAlign w:val="center"/>
            <w:shd w:fill="18324A"/>
          </w:tcPr>
          <w:p>
            <w:r/>
            <w:r>
              <w:rPr>
                <w:rFonts w:ascii="Aptos" w:hAnsi="Aptos"/>
                <w:b/>
                <w:color w:val="FFFFFF"/>
                <w:sz w:val="17"/>
              </w:rPr>
              <w:t>Verified or Qualified Finding</w:t>
            </w:r>
          </w:p>
        </w:tc>
      </w:tr>
      <w:tr>
        <w:tc>
          <w:tcPr>
            <w:tcW w:type="dxa" w:w="2592"/>
            <w:vAlign w:val="center"/>
            <w:shd w:fill="FFFFFF"/>
          </w:tcPr>
          <w:p>
            <w:r/>
            <w:r>
              <w:rPr>
                <w:rFonts w:ascii="Aptos" w:hAnsi="Aptos"/>
                <w:b w:val="0"/>
                <w:sz w:val="17"/>
              </w:rPr>
              <w:t>Verified INN</w:t>
            </w:r>
          </w:p>
        </w:tc>
        <w:tc>
          <w:tcPr>
            <w:tcW w:type="dxa" w:w="7632"/>
            <w:vAlign w:val="center"/>
            <w:shd w:fill="FFFFFF"/>
          </w:tcPr>
          <w:p>
            <w:r/>
            <w:r>
              <w:rPr>
                <w:rFonts w:ascii="Aptos" w:hAnsi="Aptos"/>
                <w:b w:val="0"/>
                <w:sz w:val="17"/>
              </w:rPr>
              <w:t>Trelagliptin; commonly described as trelagliptin succinate in regulatory material</w:t>
            </w:r>
          </w:p>
        </w:tc>
      </w:tr>
      <w:tr>
        <w:tc>
          <w:tcPr>
            <w:tcW w:type="dxa" w:w="2592"/>
            <w:vAlign w:val="center"/>
            <w:shd w:fill="F2F4F6"/>
          </w:tcPr>
          <w:p>
            <w:r/>
            <w:r>
              <w:rPr>
                <w:rFonts w:ascii="Aptos" w:hAnsi="Aptos"/>
                <w:b w:val="0"/>
                <w:sz w:val="17"/>
              </w:rPr>
              <w:t>Class</w:t>
            </w:r>
          </w:p>
        </w:tc>
        <w:tc>
          <w:tcPr>
            <w:tcW w:type="dxa" w:w="7632"/>
            <w:vAlign w:val="center"/>
            <w:shd w:fill="F2F4F6"/>
          </w:tcPr>
          <w:p>
            <w:r/>
            <w:r>
              <w:rPr>
                <w:rFonts w:ascii="Aptos" w:hAnsi="Aptos"/>
                <w:b w:val="0"/>
                <w:sz w:val="17"/>
              </w:rPr>
              <w:t>Oral dipeptidyl peptidase-4 (DPP-4) inhibitor</w:t>
            </w:r>
          </w:p>
        </w:tc>
      </w:tr>
      <w:tr>
        <w:tc>
          <w:tcPr>
            <w:tcW w:type="dxa" w:w="2592"/>
            <w:vAlign w:val="center"/>
            <w:shd w:fill="FFFFFF"/>
          </w:tcPr>
          <w:p>
            <w:r/>
            <w:r>
              <w:rPr>
                <w:rFonts w:ascii="Aptos" w:hAnsi="Aptos"/>
                <w:b w:val="0"/>
                <w:sz w:val="17"/>
              </w:rPr>
              <w:t>Core differentiation</w:t>
            </w:r>
          </w:p>
        </w:tc>
        <w:tc>
          <w:tcPr>
            <w:tcW w:type="dxa" w:w="7632"/>
            <w:vAlign w:val="center"/>
            <w:shd w:fill="FFFFFF"/>
          </w:tcPr>
          <w:p>
            <w:r/>
            <w:r>
              <w:rPr>
                <w:rFonts w:ascii="Aptos" w:hAnsi="Aptos"/>
                <w:b w:val="0"/>
                <w:sz w:val="17"/>
              </w:rPr>
              <w:t>Once-weekly oral administration</w:t>
            </w:r>
          </w:p>
        </w:tc>
      </w:tr>
      <w:tr>
        <w:tc>
          <w:tcPr>
            <w:tcW w:type="dxa" w:w="2592"/>
            <w:vAlign w:val="center"/>
            <w:shd w:fill="F2F4F6"/>
          </w:tcPr>
          <w:p>
            <w:r/>
            <w:r>
              <w:rPr>
                <w:rFonts w:ascii="Aptos" w:hAnsi="Aptos"/>
                <w:b w:val="0"/>
                <w:sz w:val="17"/>
              </w:rPr>
              <w:t>Verified approval context</w:t>
            </w:r>
          </w:p>
        </w:tc>
        <w:tc>
          <w:tcPr>
            <w:tcW w:type="dxa" w:w="7632"/>
            <w:vAlign w:val="center"/>
            <w:shd w:fill="F2F4F6"/>
          </w:tcPr>
          <w:p>
            <w:r/>
            <w:r>
              <w:rPr>
                <w:rFonts w:ascii="Aptos" w:hAnsi="Aptos"/>
                <w:b w:val="0"/>
                <w:sz w:val="17"/>
              </w:rPr>
              <w:t>Approved in Japan for type 2 diabetes mellitus; approval outside Japan must be verified jurisdiction by jurisdiction</w:t>
            </w:r>
          </w:p>
        </w:tc>
      </w:tr>
      <w:tr>
        <w:tc>
          <w:tcPr>
            <w:tcW w:type="dxa" w:w="2592"/>
            <w:vAlign w:val="center"/>
            <w:shd w:fill="FFFFFF"/>
          </w:tcPr>
          <w:p>
            <w:r/>
            <w:r>
              <w:rPr>
                <w:rFonts w:ascii="Aptos" w:hAnsi="Aptos"/>
                <w:b w:val="0"/>
                <w:sz w:val="17"/>
              </w:rPr>
              <w:t>India evidence context</w:t>
            </w:r>
          </w:p>
        </w:tc>
        <w:tc>
          <w:tcPr>
            <w:tcW w:type="dxa" w:w="7632"/>
            <w:vAlign w:val="center"/>
            <w:shd w:fill="FFFFFF"/>
          </w:tcPr>
          <w:p>
            <w:r/>
            <w:r>
              <w:rPr>
                <w:rFonts w:ascii="Aptos" w:hAnsi="Aptos"/>
                <w:b w:val="0"/>
                <w:sz w:val="17"/>
              </w:rPr>
              <w:t>A randomized phase 3 non-inferiority trial versus twice-daily vildagliptin in Indian patients was published in 2025</w:t>
            </w:r>
          </w:p>
        </w:tc>
      </w:tr>
      <w:tr>
        <w:tc>
          <w:tcPr>
            <w:tcW w:type="dxa" w:w="2592"/>
            <w:vAlign w:val="center"/>
            <w:shd w:fill="F2F4F6"/>
          </w:tcPr>
          <w:p>
            <w:r/>
            <w:r>
              <w:rPr>
                <w:rFonts w:ascii="Aptos" w:hAnsi="Aptos"/>
                <w:b w:val="0"/>
                <w:sz w:val="17"/>
              </w:rPr>
              <w:t>Assessment geography</w:t>
            </w:r>
          </w:p>
        </w:tc>
        <w:tc>
          <w:tcPr>
            <w:tcW w:type="dxa" w:w="7632"/>
            <w:vAlign w:val="center"/>
            <w:shd w:fill="F2F4F6"/>
          </w:tcPr>
          <w:p>
            <w:r/>
            <w:r>
              <w:rPr>
                <w:rFonts w:ascii="Aptos" w:hAnsi="Aptos"/>
                <w:b w:val="0"/>
                <w:sz w:val="17"/>
              </w:rPr>
              <w:t>India</w:t>
            </w:r>
          </w:p>
        </w:tc>
      </w:tr>
    </w:tbl>
    <w:p>
      <w:pPr>
        <w:spacing w:after="40"/>
      </w:pPr>
    </w:p>
    <w:p>
      <w:pPr>
        <w:pStyle w:val="Heading1"/>
        <w:keepNext/>
      </w:pPr>
      <w:r>
        <w:t>3. Scientific and Strategic Synopsis</w:t>
      </w:r>
    </w:p>
    <w:p>
      <w:r>
        <w:rPr>
          <w:b/>
        </w:rPr>
        <w:t xml:space="preserve">Appraisal interpretation. </w:t>
      </w:r>
      <w:r>
        <w:t>Trelagliptin offers a clear administration-frequency distinction within the DPP-4 class. Its scientific proposition is narrower than products supported by extensive cardiorenal outcomes programs. The opportunity therefore depends on verified local authorization, appropriate patient positioning, differentiated execution, affordability, and robust operational diligence.</w:t>
      </w:r>
    </w:p>
    <w:p>
      <w:pPr>
        <w:pStyle w:val="Heading1"/>
        <w:keepNext/>
      </w:pPr>
      <w:r>
        <w:t>4. SWOT Assessment</w:t>
      </w:r>
    </w:p>
    <w:tbl>
      <w:tblPr>
        <w:tblStyle w:val="TableGrid"/>
        <w:tblW w:type="auto" w:w="0"/>
        <w:jc w:val="center"/>
        <w:tblLayout w:type="fixed"/>
        <w:tblLook w:firstColumn="1" w:firstRow="1" w:lastColumn="0" w:lastRow="0" w:noHBand="0" w:noVBand="1" w:val="04A0"/>
      </w:tblPr>
      <w:tblGrid>
        <w:gridCol w:w="5040"/>
        <w:gridCol w:w="5040"/>
      </w:tblGrid>
      <w:tr>
        <w:tc>
          <w:tcPr>
            <w:tcW w:type="dxa" w:w="5112"/>
            <w:vAlign w:val="center"/>
            <w:shd w:fill="137C7B"/>
          </w:tcPr>
          <w:p>
            <w:r/>
            <w:r>
              <w:rPr>
                <w:rFonts w:ascii="Aptos" w:hAnsi="Aptos"/>
                <w:b/>
                <w:color w:val="FFFFFF"/>
                <w:sz w:val="17"/>
              </w:rPr>
              <w:t>Strengths</w:t>
            </w:r>
          </w:p>
        </w:tc>
        <w:tc>
          <w:tcPr>
            <w:tcW w:type="dxa" w:w="5112"/>
            <w:vAlign w:val="center"/>
            <w:shd w:fill="137C7B"/>
          </w:tcPr>
          <w:p>
            <w:r/>
            <w:r>
              <w:rPr>
                <w:rFonts w:ascii="Aptos" w:hAnsi="Aptos"/>
                <w:b/>
                <w:color w:val="FFFFFF"/>
                <w:sz w:val="17"/>
              </w:rPr>
              <w:t>Weaknesses</w:t>
            </w:r>
          </w:p>
        </w:tc>
      </w:tr>
      <w:tr>
        <w:tc>
          <w:tcPr>
            <w:tcW w:type="dxa" w:w="5112"/>
            <w:vAlign w:val="center"/>
            <w:shd w:fill="FFFFFF"/>
          </w:tcPr>
          <w:p>
            <w:r/>
            <w:r>
              <w:rPr>
                <w:rFonts w:ascii="Aptos" w:hAnsi="Aptos"/>
                <w:b w:val="0"/>
                <w:sz w:val="17"/>
              </w:rPr>
              <w:t>Distinct once-weekly oral DPP-4 dosing proposition.</w:t>
              <w:br/>
              <w:t>Japanese phase 3 evidence supports non-inferiority to once-daily alogliptin in the studied population.</w:t>
              <w:br/>
              <w:t>Published Indian phase 3 evidence provides locally relevant comparative data versus vildagliptin.</w:t>
              <w:br/>
              <w:t>DPP-4 class familiarity may simplify physician education.</w:t>
            </w:r>
          </w:p>
        </w:tc>
        <w:tc>
          <w:tcPr>
            <w:tcW w:type="dxa" w:w="5112"/>
            <w:vAlign w:val="center"/>
            <w:shd w:fill="FFFFFF"/>
          </w:tcPr>
          <w:p>
            <w:r/>
            <w:r>
              <w:rPr>
                <w:rFonts w:ascii="Aptos" w:hAnsi="Aptos"/>
                <w:b w:val="0"/>
                <w:sz w:val="17"/>
              </w:rPr>
              <w:t>No verified broad cardiovascular, heart-failure, or kidney-outcome advantage comparable with major SGLT2 evidence programs.</w:t>
              <w:br/>
              <w:t>Current Indian marketing authorization status was not verified from an authoritative source during this qualification run.</w:t>
              <w:br/>
              <w:t>Adherence benefit is plausible from dosing frequency but should not be assumed without supportive evidence.</w:t>
              <w:br/>
              <w:t>Patent, FTO, API economics, pricing, market share, and supply readiness remain unverified.</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5112"/>
            <w:vAlign w:val="center"/>
            <w:shd w:fill="137C7B"/>
          </w:tcPr>
          <w:p>
            <w:r/>
            <w:r>
              <w:rPr>
                <w:rFonts w:ascii="Aptos" w:hAnsi="Aptos"/>
                <w:b/>
                <w:color w:val="FFFFFF"/>
                <w:sz w:val="17"/>
              </w:rPr>
              <w:t>Opportunities</w:t>
            </w:r>
          </w:p>
        </w:tc>
        <w:tc>
          <w:tcPr>
            <w:tcW w:type="dxa" w:w="5112"/>
            <w:vAlign w:val="center"/>
            <w:shd w:fill="137C7B"/>
          </w:tcPr>
          <w:p>
            <w:r/>
            <w:r>
              <w:rPr>
                <w:rFonts w:ascii="Aptos" w:hAnsi="Aptos"/>
                <w:b/>
                <w:color w:val="FFFFFF"/>
                <w:sz w:val="17"/>
              </w:rPr>
              <w:t>Threats</w:t>
            </w:r>
          </w:p>
        </w:tc>
      </w:tr>
      <w:tr>
        <w:tc>
          <w:tcPr>
            <w:tcW w:type="dxa" w:w="5112"/>
            <w:vAlign w:val="center"/>
            <w:shd w:fill="FFFFFF"/>
          </w:tcPr>
          <w:p>
            <w:r/>
            <w:r>
              <w:rPr>
                <w:rFonts w:ascii="Aptos" w:hAnsi="Aptos"/>
                <w:b w:val="0"/>
                <w:sz w:val="17"/>
              </w:rPr>
              <w:t>Potential option for selected patients and prescribers who value reduced dosing frequency.</w:t>
              <w:br/>
              <w:t>Local evidence may support a differentiated scientific discussion if regulatory and label status permit.</w:t>
              <w:br/>
              <w:t>Could complement a diabetes portfolio where DPP-4 familiarity and oral convenience are strategically relevant.</w:t>
            </w:r>
          </w:p>
        </w:tc>
        <w:tc>
          <w:tcPr>
            <w:tcW w:type="dxa" w:w="5112"/>
            <w:vAlign w:val="center"/>
            <w:shd w:fill="FFFFFF"/>
          </w:tcPr>
          <w:p>
            <w:r/>
            <w:r>
              <w:rPr>
                <w:rFonts w:ascii="Aptos" w:hAnsi="Aptos"/>
                <w:b w:val="0"/>
                <w:sz w:val="17"/>
              </w:rPr>
              <w:t>Crowded DPP-4 and broader oral antidiabetic market.</w:t>
              <w:br/>
              <w:t>Strong competition from agents with demonstrated cardiorenal outcomes.</w:t>
              <w:br/>
              <w:t>Once-weekly administration creates medication-error and missed-dose education requirements.</w:t>
              <w:br/>
              <w:t>Unverified regulatory, pricing, patent, and supply position may materially alter attractiveness.</w:t>
            </w:r>
          </w:p>
        </w:tc>
      </w:tr>
    </w:tbl>
    <w:p>
      <w:pPr>
        <w:spacing w:after="40"/>
      </w:pPr>
    </w:p>
    <w:p>
      <w:pPr>
        <w:pStyle w:val="Heading1"/>
        <w:keepNext/>
      </w:pPr>
      <w:r>
        <w:t>5. Evidence Landscape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016"/>
            <w:vAlign w:val="center"/>
            <w:shd w:fill="18324A"/>
          </w:tcPr>
          <w:p>
            <w:r/>
            <w:r>
              <w:rPr>
                <w:rFonts w:ascii="Aptos" w:hAnsi="Aptos"/>
                <w:b/>
                <w:color w:val="FFFFFF"/>
                <w:sz w:val="17"/>
              </w:rPr>
              <w:t>Evidence</w:t>
            </w:r>
          </w:p>
        </w:tc>
        <w:tc>
          <w:tcPr>
            <w:tcW w:type="dxa" w:w="4608"/>
            <w:vAlign w:val="center"/>
            <w:shd w:fill="18324A"/>
          </w:tcPr>
          <w:p>
            <w:r/>
            <w:r>
              <w:rPr>
                <w:rFonts w:ascii="Aptos" w:hAnsi="Aptos"/>
                <w:b/>
                <w:color w:val="FFFFFF"/>
                <w:sz w:val="17"/>
              </w:rPr>
              <w:t>Relevance</w:t>
            </w:r>
          </w:p>
        </w:tc>
        <w:tc>
          <w:tcPr>
            <w:tcW w:type="dxa" w:w="2376"/>
            <w:vAlign w:val="center"/>
            <w:shd w:fill="18324A"/>
          </w:tcPr>
          <w:p>
            <w:r/>
            <w:r>
              <w:rPr>
                <w:rFonts w:ascii="Aptos" w:hAnsi="Aptos"/>
                <w:b/>
                <w:color w:val="FFFFFF"/>
                <w:sz w:val="17"/>
              </w:rPr>
              <w:t>Source class</w:t>
            </w:r>
          </w:p>
        </w:tc>
        <w:tc>
          <w:tcPr>
            <w:tcW w:type="dxa" w:w="1224"/>
            <w:vAlign w:val="center"/>
            <w:shd w:fill="18324A"/>
          </w:tcPr>
          <w:p>
            <w:r/>
            <w:r>
              <w:rPr>
                <w:rFonts w:ascii="Aptos" w:hAnsi="Aptos"/>
                <w:b/>
                <w:color w:val="FFFFFF"/>
                <w:sz w:val="17"/>
              </w:rPr>
              <w:t>Confidence</w:t>
            </w:r>
          </w:p>
        </w:tc>
      </w:tr>
      <w:tr>
        <w:tc>
          <w:tcPr>
            <w:tcW w:type="dxa" w:w="2016"/>
            <w:vAlign w:val="center"/>
            <w:shd w:fill="FFFFFF"/>
          </w:tcPr>
          <w:p>
            <w:r/>
            <w:r>
              <w:rPr>
                <w:rFonts w:ascii="Aptos" w:hAnsi="Aptos"/>
                <w:b w:val="0"/>
                <w:sz w:val="17"/>
              </w:rPr>
              <w:t>PMDA review report</w:t>
            </w:r>
          </w:p>
        </w:tc>
        <w:tc>
          <w:tcPr>
            <w:tcW w:type="dxa" w:w="4608"/>
            <w:vAlign w:val="center"/>
            <w:shd w:fill="FFFFFF"/>
          </w:tcPr>
          <w:p>
            <w:r/>
            <w:r>
              <w:rPr>
                <w:rFonts w:ascii="Aptos" w:hAnsi="Aptos"/>
                <w:b w:val="0"/>
                <w:sz w:val="17"/>
              </w:rPr>
              <w:t>Zafatek Tablets 50 mg and 100 mg; trelagliptin succinate; PMDA deliberation report, 2015.</w:t>
            </w:r>
          </w:p>
        </w:tc>
        <w:tc>
          <w:tcPr>
            <w:tcW w:type="dxa" w:w="2376"/>
            <w:vAlign w:val="center"/>
            <w:shd w:fill="FFFFFF"/>
          </w:tcPr>
          <w:p>
            <w:r/>
            <w:r>
              <w:rPr>
                <w:rFonts w:ascii="Aptos" w:hAnsi="Aptos"/>
                <w:b w:val="0"/>
                <w:sz w:val="17"/>
              </w:rPr>
              <w:t>Authoritative regulatory review</w:t>
            </w:r>
          </w:p>
        </w:tc>
        <w:tc>
          <w:tcPr>
            <w:tcW w:type="dxa" w:w="1224"/>
            <w:vAlign w:val="center"/>
            <w:shd w:fill="FFFFFF"/>
          </w:tcPr>
          <w:p>
            <w:r/>
            <w:r>
              <w:rPr>
                <w:rFonts w:ascii="Aptos" w:hAnsi="Aptos"/>
                <w:b w:val="0"/>
                <w:sz w:val="17"/>
              </w:rPr>
              <w:t>High</w:t>
            </w:r>
          </w:p>
        </w:tc>
      </w:tr>
      <w:tr>
        <w:tc>
          <w:tcPr>
            <w:tcW w:type="dxa" w:w="2016"/>
            <w:vAlign w:val="center"/>
            <w:shd w:fill="F2F4F6"/>
          </w:tcPr>
          <w:p>
            <w:r/>
            <w:r>
              <w:rPr>
                <w:rFonts w:ascii="Aptos" w:hAnsi="Aptos"/>
                <w:b w:val="0"/>
                <w:sz w:val="17"/>
              </w:rPr>
              <w:t>Inagaki et al., 2015</w:t>
            </w:r>
          </w:p>
        </w:tc>
        <w:tc>
          <w:tcPr>
            <w:tcW w:type="dxa" w:w="4608"/>
            <w:vAlign w:val="center"/>
            <w:shd w:fill="F2F4F6"/>
          </w:tcPr>
          <w:p>
            <w:r/>
            <w:r>
              <w:rPr>
                <w:rFonts w:ascii="Aptos" w:hAnsi="Aptos"/>
                <w:b w:val="0"/>
                <w:sz w:val="17"/>
              </w:rPr>
              <w:t>Once-weekly trelagliptin versus daily alogliptin; randomized, double-blind phase 3 non-inferiority study.</w:t>
            </w:r>
          </w:p>
        </w:tc>
        <w:tc>
          <w:tcPr>
            <w:tcW w:type="dxa" w:w="2376"/>
            <w:vAlign w:val="center"/>
            <w:shd w:fill="F2F4F6"/>
          </w:tcPr>
          <w:p>
            <w:r/>
            <w:r>
              <w:rPr>
                <w:rFonts w:ascii="Aptos" w:hAnsi="Aptos"/>
                <w:b w:val="0"/>
                <w:sz w:val="17"/>
              </w:rPr>
              <w:t>Peer-reviewed primary clinical study</w:t>
            </w:r>
          </w:p>
        </w:tc>
        <w:tc>
          <w:tcPr>
            <w:tcW w:type="dxa" w:w="1224"/>
            <w:vAlign w:val="center"/>
            <w:shd w:fill="F2F4F6"/>
          </w:tcPr>
          <w:p>
            <w:r/>
            <w:r>
              <w:rPr>
                <w:rFonts w:ascii="Aptos" w:hAnsi="Aptos"/>
                <w:b w:val="0"/>
                <w:sz w:val="17"/>
              </w:rPr>
              <w:t>High</w:t>
            </w:r>
          </w:p>
        </w:tc>
      </w:tr>
      <w:tr>
        <w:tc>
          <w:tcPr>
            <w:tcW w:type="dxa" w:w="2016"/>
            <w:vAlign w:val="center"/>
            <w:shd w:fill="FFFFFF"/>
          </w:tcPr>
          <w:p>
            <w:r/>
            <w:r>
              <w:rPr>
                <w:rFonts w:ascii="Aptos" w:hAnsi="Aptos"/>
                <w:b w:val="0"/>
                <w:sz w:val="17"/>
              </w:rPr>
              <w:t>Inagaki et al., 2018</w:t>
            </w:r>
          </w:p>
        </w:tc>
        <w:tc>
          <w:tcPr>
            <w:tcW w:type="dxa" w:w="4608"/>
            <w:vAlign w:val="center"/>
            <w:shd w:fill="FFFFFF"/>
          </w:tcPr>
          <w:p>
            <w:r/>
            <w:r>
              <w:rPr>
                <w:rFonts w:ascii="Aptos" w:hAnsi="Aptos"/>
                <w:b w:val="0"/>
                <w:sz w:val="17"/>
              </w:rPr>
              <w:t>Switching from daily sitagliptin to once-weekly trelagliptin; open-label exploratory phase 3 study.</w:t>
            </w:r>
          </w:p>
        </w:tc>
        <w:tc>
          <w:tcPr>
            <w:tcW w:type="dxa" w:w="2376"/>
            <w:vAlign w:val="center"/>
            <w:shd w:fill="FFFFFF"/>
          </w:tcPr>
          <w:p>
            <w:r/>
            <w:r>
              <w:rPr>
                <w:rFonts w:ascii="Aptos" w:hAnsi="Aptos"/>
                <w:b w:val="0"/>
                <w:sz w:val="17"/>
              </w:rPr>
              <w:t>Peer-reviewed clinical study</w:t>
            </w:r>
          </w:p>
        </w:tc>
        <w:tc>
          <w:tcPr>
            <w:tcW w:type="dxa" w:w="1224"/>
            <w:vAlign w:val="center"/>
            <w:shd w:fill="FFFFFF"/>
          </w:tcPr>
          <w:p>
            <w:r/>
            <w:r>
              <w:rPr>
                <w:rFonts w:ascii="Aptos" w:hAnsi="Aptos"/>
                <w:b w:val="0"/>
                <w:sz w:val="17"/>
              </w:rPr>
              <w:t>Moderate</w:t>
            </w:r>
          </w:p>
        </w:tc>
      </w:tr>
      <w:tr>
        <w:tc>
          <w:tcPr>
            <w:tcW w:type="dxa" w:w="2016"/>
            <w:vAlign w:val="center"/>
            <w:shd w:fill="F2F4F6"/>
          </w:tcPr>
          <w:p>
            <w:r/>
            <w:r>
              <w:rPr>
                <w:rFonts w:ascii="Aptos" w:hAnsi="Aptos"/>
                <w:b w:val="0"/>
                <w:sz w:val="17"/>
              </w:rPr>
              <w:t>Dewan et al., 2025</w:t>
            </w:r>
          </w:p>
        </w:tc>
        <w:tc>
          <w:tcPr>
            <w:tcW w:type="dxa" w:w="4608"/>
            <w:vAlign w:val="center"/>
            <w:shd w:fill="F2F4F6"/>
          </w:tcPr>
          <w:p>
            <w:r/>
            <w:r>
              <w:rPr>
                <w:rFonts w:ascii="Aptos" w:hAnsi="Aptos"/>
                <w:b w:val="0"/>
                <w:sz w:val="17"/>
              </w:rPr>
              <w:t>Once-weekly trelagliptin versus twice-daily vildagliptin in Indian patients; randomized phase 3 non-inferiority study.</w:t>
            </w:r>
          </w:p>
        </w:tc>
        <w:tc>
          <w:tcPr>
            <w:tcW w:type="dxa" w:w="2376"/>
            <w:vAlign w:val="center"/>
            <w:shd w:fill="F2F4F6"/>
          </w:tcPr>
          <w:p>
            <w:r/>
            <w:r>
              <w:rPr>
                <w:rFonts w:ascii="Aptos" w:hAnsi="Aptos"/>
                <w:b w:val="0"/>
                <w:sz w:val="17"/>
              </w:rPr>
              <w:t>Peer-reviewed India clinical study</w:t>
            </w:r>
          </w:p>
        </w:tc>
        <w:tc>
          <w:tcPr>
            <w:tcW w:type="dxa" w:w="1224"/>
            <w:vAlign w:val="center"/>
            <w:shd w:fill="F2F4F6"/>
          </w:tcPr>
          <w:p>
            <w:r/>
            <w:r>
              <w:rPr>
                <w:rFonts w:ascii="Aptos" w:hAnsi="Aptos"/>
                <w:b w:val="0"/>
                <w:sz w:val="17"/>
              </w:rPr>
              <w:t>Moderate</w:t>
            </w:r>
          </w:p>
        </w:tc>
      </w:tr>
      <w:tr>
        <w:tc>
          <w:tcPr>
            <w:tcW w:type="dxa" w:w="2016"/>
            <w:vAlign w:val="center"/>
            <w:shd w:fill="FFFFFF"/>
          </w:tcPr>
          <w:p>
            <w:r/>
            <w:r>
              <w:rPr>
                <w:rFonts w:ascii="Aptos" w:hAnsi="Aptos"/>
                <w:b w:val="0"/>
                <w:sz w:val="17"/>
              </w:rPr>
              <w:t>McKeage, 2015</w:t>
            </w:r>
          </w:p>
        </w:tc>
        <w:tc>
          <w:tcPr>
            <w:tcW w:type="dxa" w:w="4608"/>
            <w:vAlign w:val="center"/>
            <w:shd w:fill="FFFFFF"/>
          </w:tcPr>
          <w:p>
            <w:r/>
            <w:r>
              <w:rPr>
                <w:rFonts w:ascii="Aptos" w:hAnsi="Aptos"/>
                <w:b w:val="0"/>
                <w:sz w:val="17"/>
              </w:rPr>
              <w:t>Trelagliptin: First Global Approval.</w:t>
            </w:r>
          </w:p>
        </w:tc>
        <w:tc>
          <w:tcPr>
            <w:tcW w:type="dxa" w:w="2376"/>
            <w:vAlign w:val="center"/>
            <w:shd w:fill="FFFFFF"/>
          </w:tcPr>
          <w:p>
            <w:r/>
            <w:r>
              <w:rPr>
                <w:rFonts w:ascii="Aptos" w:hAnsi="Aptos"/>
                <w:b w:val="0"/>
                <w:sz w:val="17"/>
              </w:rPr>
              <w:t>Peer-reviewed regulatory milestone review</w:t>
            </w:r>
          </w:p>
        </w:tc>
        <w:tc>
          <w:tcPr>
            <w:tcW w:type="dxa" w:w="1224"/>
            <w:vAlign w:val="center"/>
            <w:shd w:fill="FFFFFF"/>
          </w:tcPr>
          <w:p>
            <w:r/>
            <w:r>
              <w:rPr>
                <w:rFonts w:ascii="Aptos" w:hAnsi="Aptos"/>
                <w:b w:val="0"/>
                <w:sz w:val="17"/>
              </w:rPr>
              <w:t>Moderate</w:t>
            </w:r>
          </w:p>
        </w:tc>
      </w:tr>
    </w:tbl>
    <w:p>
      <w:pPr>
        <w:spacing w:after="40"/>
      </w:pPr>
    </w:p>
    <w:p>
      <w:pPr>
        <w:pStyle w:val="Heading1"/>
        <w:keepNext/>
      </w:pPr>
      <w:r>
        <w:t>6. Weighted Appraisal Scorecard</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880"/>
            <w:vAlign w:val="center"/>
            <w:shd w:fill="18324A"/>
          </w:tcPr>
          <w:p>
            <w:r/>
            <w:r>
              <w:rPr>
                <w:rFonts w:ascii="Aptos" w:hAnsi="Aptos"/>
                <w:b/>
                <w:color w:val="FFFFFF"/>
                <w:sz w:val="17"/>
              </w:rPr>
              <w:t>Category</w:t>
            </w:r>
          </w:p>
        </w:tc>
        <w:tc>
          <w:tcPr>
            <w:tcW w:type="dxa" w:w="792"/>
            <w:vAlign w:val="center"/>
            <w:shd w:fill="18324A"/>
          </w:tcPr>
          <w:p>
            <w:r/>
            <w:r>
              <w:rPr>
                <w:rFonts w:ascii="Aptos" w:hAnsi="Aptos"/>
                <w:b/>
                <w:color w:val="FFFFFF"/>
                <w:sz w:val="17"/>
              </w:rPr>
              <w:t>Weight</w:t>
            </w:r>
          </w:p>
        </w:tc>
        <w:tc>
          <w:tcPr>
            <w:tcW w:type="dxa" w:w="936"/>
            <w:vAlign w:val="center"/>
            <w:shd w:fill="18324A"/>
          </w:tcPr>
          <w:p>
            <w:r/>
            <w:r>
              <w:rPr>
                <w:rFonts w:ascii="Aptos" w:hAnsi="Aptos"/>
                <w:b/>
                <w:color w:val="FFFFFF"/>
                <w:sz w:val="17"/>
              </w:rPr>
              <w:t>Score 0-5</w:t>
            </w:r>
          </w:p>
        </w:tc>
        <w:tc>
          <w:tcPr>
            <w:tcW w:type="dxa" w:w="936"/>
            <w:vAlign w:val="center"/>
            <w:shd w:fill="18324A"/>
          </w:tcPr>
          <w:p>
            <w:r/>
            <w:r>
              <w:rPr>
                <w:rFonts w:ascii="Aptos" w:hAnsi="Aptos"/>
                <w:b/>
                <w:color w:val="FFFFFF"/>
                <w:sz w:val="17"/>
              </w:rPr>
              <w:t>Weighted</w:t>
            </w:r>
          </w:p>
        </w:tc>
        <w:tc>
          <w:tcPr>
            <w:tcW w:type="dxa" w:w="4680"/>
            <w:vAlign w:val="center"/>
            <w:shd w:fill="18324A"/>
          </w:tcPr>
          <w:p>
            <w:r/>
            <w:r>
              <w:rPr>
                <w:rFonts w:ascii="Aptos" w:hAnsi="Aptos"/>
                <w:b/>
                <w:color w:val="FFFFFF"/>
                <w:sz w:val="17"/>
              </w:rPr>
              <w:t>Rationale</w:t>
            </w:r>
          </w:p>
        </w:tc>
      </w:tr>
      <w:tr>
        <w:tc>
          <w:tcPr>
            <w:tcW w:type="dxa" w:w="2880"/>
            <w:vAlign w:val="center"/>
            <w:shd w:fill="FFFFFF"/>
          </w:tcPr>
          <w:p>
            <w:r/>
            <w:r>
              <w:rPr>
                <w:rFonts w:ascii="Aptos" w:hAnsi="Aptos"/>
                <w:b w:val="0"/>
                <w:sz w:val="17"/>
              </w:rPr>
              <w:t>Therapeutic gap and medical need</w:t>
            </w:r>
          </w:p>
        </w:tc>
        <w:tc>
          <w:tcPr>
            <w:tcW w:type="dxa" w:w="792"/>
            <w:vAlign w:val="center"/>
            <w:shd w:fill="FFFFFF"/>
          </w:tcPr>
          <w:p>
            <w:r/>
            <w:r>
              <w:rPr>
                <w:rFonts w:ascii="Aptos" w:hAnsi="Aptos"/>
                <w:b w:val="0"/>
                <w:sz w:val="17"/>
              </w:rPr>
              <w:t>8</w:t>
            </w:r>
          </w:p>
        </w:tc>
        <w:tc>
          <w:tcPr>
            <w:tcW w:type="dxa" w:w="936"/>
            <w:vAlign w:val="center"/>
            <w:shd w:fill="FFFFFF"/>
          </w:tcPr>
          <w:p>
            <w:r/>
            <w:r>
              <w:rPr>
                <w:rFonts w:ascii="Aptos" w:hAnsi="Aptos"/>
                <w:b w:val="0"/>
                <w:sz w:val="17"/>
              </w:rPr>
              <w:t>4</w:t>
            </w:r>
          </w:p>
        </w:tc>
        <w:tc>
          <w:tcPr>
            <w:tcW w:type="dxa" w:w="936"/>
            <w:vAlign w:val="center"/>
            <w:shd w:fill="FFFFFF"/>
          </w:tcPr>
          <w:p>
            <w:r/>
            <w:r>
              <w:rPr>
                <w:rFonts w:ascii="Aptos" w:hAnsi="Aptos"/>
                <w:b w:val="0"/>
                <w:sz w:val="17"/>
              </w:rPr>
              <w:t>6.4</w:t>
            </w:r>
          </w:p>
        </w:tc>
        <w:tc>
          <w:tcPr>
            <w:tcW w:type="dxa" w:w="4680"/>
            <w:vAlign w:val="center"/>
            <w:shd w:fill="FFFFFF"/>
          </w:tcPr>
          <w:p>
            <w:r/>
            <w:r>
              <w:rPr>
                <w:rFonts w:ascii="Aptos" w:hAnsi="Aptos"/>
                <w:b w:val="0"/>
                <w:sz w:val="17"/>
              </w:rPr>
              <w:t>Dosing-frequency convenience may address treatment-burden concerns, but clinical impact needs validation.</w:t>
            </w:r>
          </w:p>
        </w:tc>
      </w:tr>
      <w:tr>
        <w:tc>
          <w:tcPr>
            <w:tcW w:type="dxa" w:w="2880"/>
            <w:vAlign w:val="center"/>
            <w:shd w:fill="F2F4F6"/>
          </w:tcPr>
          <w:p>
            <w:r/>
            <w:r>
              <w:rPr>
                <w:rFonts w:ascii="Aptos" w:hAnsi="Aptos"/>
                <w:b w:val="0"/>
                <w:sz w:val="17"/>
              </w:rPr>
              <w:t>Molecule and target profile</w:t>
            </w:r>
          </w:p>
        </w:tc>
        <w:tc>
          <w:tcPr>
            <w:tcW w:type="dxa" w:w="792"/>
            <w:vAlign w:val="center"/>
            <w:shd w:fill="F2F4F6"/>
          </w:tcPr>
          <w:p>
            <w:r/>
            <w:r>
              <w:rPr>
                <w:rFonts w:ascii="Aptos" w:hAnsi="Aptos"/>
                <w:b w:val="0"/>
                <w:sz w:val="17"/>
              </w:rPr>
              <w:t>8</w:t>
            </w:r>
          </w:p>
        </w:tc>
        <w:tc>
          <w:tcPr>
            <w:tcW w:type="dxa" w:w="936"/>
            <w:vAlign w:val="center"/>
            <w:shd w:fill="F2F4F6"/>
          </w:tcPr>
          <w:p>
            <w:r/>
            <w:r>
              <w:rPr>
                <w:rFonts w:ascii="Aptos" w:hAnsi="Aptos"/>
                <w:b w:val="0"/>
                <w:sz w:val="17"/>
              </w:rPr>
              <w:t>4</w:t>
            </w:r>
          </w:p>
        </w:tc>
        <w:tc>
          <w:tcPr>
            <w:tcW w:type="dxa" w:w="936"/>
            <w:vAlign w:val="center"/>
            <w:shd w:fill="F2F4F6"/>
          </w:tcPr>
          <w:p>
            <w:r/>
            <w:r>
              <w:rPr>
                <w:rFonts w:ascii="Aptos" w:hAnsi="Aptos"/>
                <w:b w:val="0"/>
                <w:sz w:val="17"/>
              </w:rPr>
              <w:t>6.4</w:t>
            </w:r>
          </w:p>
        </w:tc>
        <w:tc>
          <w:tcPr>
            <w:tcW w:type="dxa" w:w="4680"/>
            <w:vAlign w:val="center"/>
            <w:shd w:fill="F2F4F6"/>
          </w:tcPr>
          <w:p>
            <w:r/>
            <w:r>
              <w:rPr>
                <w:rFonts w:ascii="Aptos" w:hAnsi="Aptos"/>
                <w:b w:val="0"/>
                <w:sz w:val="17"/>
              </w:rPr>
              <w:t>Once-weekly DPP-4 inhibition is a clear administration differentiator.</w:t>
            </w:r>
          </w:p>
        </w:tc>
      </w:tr>
      <w:tr>
        <w:tc>
          <w:tcPr>
            <w:tcW w:type="dxa" w:w="2880"/>
            <w:vAlign w:val="center"/>
            <w:shd w:fill="FFFFFF"/>
          </w:tcPr>
          <w:p>
            <w:r/>
            <w:r>
              <w:rPr>
                <w:rFonts w:ascii="Aptos" w:hAnsi="Aptos"/>
                <w:b w:val="0"/>
                <w:sz w:val="17"/>
              </w:rPr>
              <w:t>Preclinical evidence</w:t>
            </w:r>
          </w:p>
        </w:tc>
        <w:tc>
          <w:tcPr>
            <w:tcW w:type="dxa" w:w="792"/>
            <w:vAlign w:val="center"/>
            <w:shd w:fill="FFFFFF"/>
          </w:tcPr>
          <w:p>
            <w:r/>
            <w:r>
              <w:rPr>
                <w:rFonts w:ascii="Aptos" w:hAnsi="Aptos"/>
                <w:b w:val="0"/>
                <w:sz w:val="17"/>
              </w:rPr>
              <w:t>6</w:t>
            </w:r>
          </w:p>
        </w:tc>
        <w:tc>
          <w:tcPr>
            <w:tcW w:type="dxa" w:w="936"/>
            <w:vAlign w:val="center"/>
            <w:shd w:fill="FFFFFF"/>
          </w:tcPr>
          <w:p>
            <w:r/>
            <w:r>
              <w:rPr>
                <w:rFonts w:ascii="Aptos" w:hAnsi="Aptos"/>
                <w:b w:val="0"/>
                <w:sz w:val="17"/>
              </w:rPr>
              <w:t>2</w:t>
            </w:r>
          </w:p>
        </w:tc>
        <w:tc>
          <w:tcPr>
            <w:tcW w:type="dxa" w:w="936"/>
            <w:vAlign w:val="center"/>
            <w:shd w:fill="FFFFFF"/>
          </w:tcPr>
          <w:p>
            <w:r/>
            <w:r>
              <w:rPr>
                <w:rFonts w:ascii="Aptos" w:hAnsi="Aptos"/>
                <w:b w:val="0"/>
                <w:sz w:val="17"/>
              </w:rPr>
              <w:t>2.4</w:t>
            </w:r>
          </w:p>
        </w:tc>
        <w:tc>
          <w:tcPr>
            <w:tcW w:type="dxa" w:w="4680"/>
            <w:vAlign w:val="center"/>
            <w:shd w:fill="FFFFFF"/>
          </w:tcPr>
          <w:p>
            <w:r/>
            <w:r>
              <w:rPr>
                <w:rFonts w:ascii="Aptos" w:hAnsi="Aptos"/>
                <w:b w:val="0"/>
                <w:sz w:val="17"/>
              </w:rPr>
              <w:t>No detailed preclinical package was supplied for this qualification run.</w:t>
            </w:r>
          </w:p>
        </w:tc>
      </w:tr>
      <w:tr>
        <w:tc>
          <w:tcPr>
            <w:tcW w:type="dxa" w:w="2880"/>
            <w:vAlign w:val="center"/>
            <w:shd w:fill="F2F4F6"/>
          </w:tcPr>
          <w:p>
            <w:r/>
            <w:r>
              <w:rPr>
                <w:rFonts w:ascii="Aptos" w:hAnsi="Aptos"/>
                <w:b w:val="0"/>
                <w:sz w:val="17"/>
              </w:rPr>
              <w:t>Clinical evidence</w:t>
            </w:r>
          </w:p>
        </w:tc>
        <w:tc>
          <w:tcPr>
            <w:tcW w:type="dxa" w:w="792"/>
            <w:vAlign w:val="center"/>
            <w:shd w:fill="F2F4F6"/>
          </w:tcPr>
          <w:p>
            <w:r/>
            <w:r>
              <w:rPr>
                <w:rFonts w:ascii="Aptos" w:hAnsi="Aptos"/>
                <w:b w:val="0"/>
                <w:sz w:val="17"/>
              </w:rPr>
              <w:t>16</w:t>
            </w:r>
          </w:p>
        </w:tc>
        <w:tc>
          <w:tcPr>
            <w:tcW w:type="dxa" w:w="936"/>
            <w:vAlign w:val="center"/>
            <w:shd w:fill="F2F4F6"/>
          </w:tcPr>
          <w:p>
            <w:r/>
            <w:r>
              <w:rPr>
                <w:rFonts w:ascii="Aptos" w:hAnsi="Aptos"/>
                <w:b w:val="0"/>
                <w:sz w:val="17"/>
              </w:rPr>
              <w:t>3</w:t>
            </w:r>
          </w:p>
        </w:tc>
        <w:tc>
          <w:tcPr>
            <w:tcW w:type="dxa" w:w="936"/>
            <w:vAlign w:val="center"/>
            <w:shd w:fill="F2F4F6"/>
          </w:tcPr>
          <w:p>
            <w:r/>
            <w:r>
              <w:rPr>
                <w:rFonts w:ascii="Aptos" w:hAnsi="Aptos"/>
                <w:b w:val="0"/>
                <w:sz w:val="17"/>
              </w:rPr>
              <w:t>9.6</w:t>
            </w:r>
          </w:p>
        </w:tc>
        <w:tc>
          <w:tcPr>
            <w:tcW w:type="dxa" w:w="4680"/>
            <w:vAlign w:val="center"/>
            <w:shd w:fill="F2F4F6"/>
          </w:tcPr>
          <w:p>
            <w:r/>
            <w:r>
              <w:rPr>
                <w:rFonts w:ascii="Aptos" w:hAnsi="Aptos"/>
                <w:b w:val="0"/>
                <w:sz w:val="17"/>
              </w:rPr>
              <w:t>Japan and India comparative studies are available, but outcome breadth is limited.</w:t>
            </w:r>
          </w:p>
        </w:tc>
      </w:tr>
      <w:tr>
        <w:tc>
          <w:tcPr>
            <w:tcW w:type="dxa" w:w="2880"/>
            <w:vAlign w:val="center"/>
            <w:shd w:fill="FFFFFF"/>
          </w:tcPr>
          <w:p>
            <w:r/>
            <w:r>
              <w:rPr>
                <w:rFonts w:ascii="Aptos" w:hAnsi="Aptos"/>
                <w:b w:val="0"/>
                <w:sz w:val="17"/>
              </w:rPr>
              <w:t>Safety and tolerability</w:t>
            </w:r>
          </w:p>
        </w:tc>
        <w:tc>
          <w:tcPr>
            <w:tcW w:type="dxa" w:w="792"/>
            <w:vAlign w:val="center"/>
            <w:shd w:fill="FFFFFF"/>
          </w:tcPr>
          <w:p>
            <w:r/>
            <w:r>
              <w:rPr>
                <w:rFonts w:ascii="Aptos" w:hAnsi="Aptos"/>
                <w:b w:val="0"/>
                <w:sz w:val="17"/>
              </w:rPr>
              <w:t>10</w:t>
            </w:r>
          </w:p>
        </w:tc>
        <w:tc>
          <w:tcPr>
            <w:tcW w:type="dxa" w:w="936"/>
            <w:vAlign w:val="center"/>
            <w:shd w:fill="FFFFFF"/>
          </w:tcPr>
          <w:p>
            <w:r/>
            <w:r>
              <w:rPr>
                <w:rFonts w:ascii="Aptos" w:hAnsi="Aptos"/>
                <w:b w:val="0"/>
                <w:sz w:val="17"/>
              </w:rPr>
              <w:t>3</w:t>
            </w:r>
          </w:p>
        </w:tc>
        <w:tc>
          <w:tcPr>
            <w:tcW w:type="dxa" w:w="936"/>
            <w:vAlign w:val="center"/>
            <w:shd w:fill="FFFFFF"/>
          </w:tcPr>
          <w:p>
            <w:r/>
            <w:r>
              <w:rPr>
                <w:rFonts w:ascii="Aptos" w:hAnsi="Aptos"/>
                <w:b w:val="0"/>
                <w:sz w:val="17"/>
              </w:rPr>
              <w:t>6.0</w:t>
            </w:r>
          </w:p>
        </w:tc>
        <w:tc>
          <w:tcPr>
            <w:tcW w:type="dxa" w:w="4680"/>
            <w:vAlign w:val="center"/>
            <w:shd w:fill="FFFFFF"/>
          </w:tcPr>
          <w:p>
            <w:r/>
            <w:r>
              <w:rPr>
                <w:rFonts w:ascii="Aptos" w:hAnsi="Aptos"/>
                <w:b w:val="0"/>
                <w:sz w:val="17"/>
              </w:rPr>
              <w:t>Regulatory review supports acceptability in studied populations; geography-specific label verification remains required.</w:t>
            </w:r>
          </w:p>
        </w:tc>
      </w:tr>
      <w:tr>
        <w:tc>
          <w:tcPr>
            <w:tcW w:type="dxa" w:w="2880"/>
            <w:vAlign w:val="center"/>
            <w:shd w:fill="F2F4F6"/>
          </w:tcPr>
          <w:p>
            <w:r/>
            <w:r>
              <w:rPr>
                <w:rFonts w:ascii="Aptos" w:hAnsi="Aptos"/>
                <w:b w:val="0"/>
                <w:sz w:val="17"/>
              </w:rPr>
              <w:t>Regulatory status and pathway</w:t>
            </w:r>
          </w:p>
        </w:tc>
        <w:tc>
          <w:tcPr>
            <w:tcW w:type="dxa" w:w="792"/>
            <w:vAlign w:val="center"/>
            <w:shd w:fill="F2F4F6"/>
          </w:tcPr>
          <w:p>
            <w:r/>
            <w:r>
              <w:rPr>
                <w:rFonts w:ascii="Aptos" w:hAnsi="Aptos"/>
                <w:b w:val="0"/>
                <w:sz w:val="17"/>
              </w:rPr>
              <w:t>8</w:t>
            </w:r>
          </w:p>
        </w:tc>
        <w:tc>
          <w:tcPr>
            <w:tcW w:type="dxa" w:w="936"/>
            <w:vAlign w:val="center"/>
            <w:shd w:fill="F2F4F6"/>
          </w:tcPr>
          <w:p>
            <w:r/>
            <w:r>
              <w:rPr>
                <w:rFonts w:ascii="Aptos" w:hAnsi="Aptos"/>
                <w:b w:val="0"/>
                <w:sz w:val="17"/>
              </w:rPr>
              <w:t>2</w:t>
            </w:r>
          </w:p>
        </w:tc>
        <w:tc>
          <w:tcPr>
            <w:tcW w:type="dxa" w:w="936"/>
            <w:vAlign w:val="center"/>
            <w:shd w:fill="F2F4F6"/>
          </w:tcPr>
          <w:p>
            <w:r/>
            <w:r>
              <w:rPr>
                <w:rFonts w:ascii="Aptos" w:hAnsi="Aptos"/>
                <w:b w:val="0"/>
                <w:sz w:val="17"/>
              </w:rPr>
              <w:t>3.2</w:t>
            </w:r>
          </w:p>
        </w:tc>
        <w:tc>
          <w:tcPr>
            <w:tcW w:type="dxa" w:w="4680"/>
            <w:vAlign w:val="center"/>
            <w:shd w:fill="F2F4F6"/>
          </w:tcPr>
          <w:p>
            <w:r/>
            <w:r>
              <w:rPr>
                <w:rFonts w:ascii="Aptos" w:hAnsi="Aptos"/>
                <w:b w:val="0"/>
                <w:sz w:val="17"/>
              </w:rPr>
              <w:t>Japan approval verified; India status not verified.</w:t>
            </w:r>
          </w:p>
        </w:tc>
      </w:tr>
      <w:tr>
        <w:tc>
          <w:tcPr>
            <w:tcW w:type="dxa" w:w="2880"/>
            <w:vAlign w:val="center"/>
            <w:shd w:fill="FFFFFF"/>
          </w:tcPr>
          <w:p>
            <w:r/>
            <w:r>
              <w:rPr>
                <w:rFonts w:ascii="Aptos" w:hAnsi="Aptos"/>
                <w:b w:val="0"/>
                <w:sz w:val="17"/>
              </w:rPr>
              <w:t>Patent and exclusivity</w:t>
            </w:r>
          </w:p>
        </w:tc>
        <w:tc>
          <w:tcPr>
            <w:tcW w:type="dxa" w:w="792"/>
            <w:vAlign w:val="center"/>
            <w:shd w:fill="FFFFFF"/>
          </w:tcPr>
          <w:p>
            <w:r/>
            <w:r>
              <w:rPr>
                <w:rFonts w:ascii="Aptos" w:hAnsi="Aptos"/>
                <w:b w:val="0"/>
                <w:sz w:val="17"/>
              </w:rPr>
              <w:t>8</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1.6</w:t>
            </w:r>
          </w:p>
        </w:tc>
        <w:tc>
          <w:tcPr>
            <w:tcW w:type="dxa" w:w="4680"/>
            <w:vAlign w:val="center"/>
            <w:shd w:fill="FFFFFF"/>
          </w:tcPr>
          <w:p>
            <w:r/>
            <w:r>
              <w:rPr>
                <w:rFonts w:ascii="Aptos" w:hAnsi="Aptos"/>
                <w:b w:val="0"/>
                <w:sz w:val="17"/>
              </w:rPr>
              <w:t>Conservative score because authoritative India-specific diligence data were not supplied.</w:t>
            </w:r>
          </w:p>
        </w:tc>
      </w:tr>
      <w:tr>
        <w:tc>
          <w:tcPr>
            <w:tcW w:type="dxa" w:w="2880"/>
            <w:vAlign w:val="center"/>
            <w:shd w:fill="F2F4F6"/>
          </w:tcPr>
          <w:p>
            <w:r/>
            <w:r>
              <w:rPr>
                <w:rFonts w:ascii="Aptos" w:hAnsi="Aptos"/>
                <w:b w:val="0"/>
                <w:sz w:val="17"/>
              </w:rPr>
              <w:t>Competitor landscape</w:t>
            </w:r>
          </w:p>
        </w:tc>
        <w:tc>
          <w:tcPr>
            <w:tcW w:type="dxa" w:w="792"/>
            <w:vAlign w:val="center"/>
            <w:shd w:fill="F2F4F6"/>
          </w:tcPr>
          <w:p>
            <w:r/>
            <w:r>
              <w:rPr>
                <w:rFonts w:ascii="Aptos" w:hAnsi="Aptos"/>
                <w:b w:val="0"/>
                <w:sz w:val="17"/>
              </w:rPr>
              <w:t>8</w:t>
            </w:r>
          </w:p>
        </w:tc>
        <w:tc>
          <w:tcPr>
            <w:tcW w:type="dxa" w:w="936"/>
            <w:vAlign w:val="center"/>
            <w:shd w:fill="F2F4F6"/>
          </w:tcPr>
          <w:p>
            <w:r/>
            <w:r>
              <w:rPr>
                <w:rFonts w:ascii="Aptos" w:hAnsi="Aptos"/>
                <w:b w:val="0"/>
                <w:sz w:val="17"/>
              </w:rPr>
              <w:t>3</w:t>
            </w:r>
          </w:p>
        </w:tc>
        <w:tc>
          <w:tcPr>
            <w:tcW w:type="dxa" w:w="936"/>
            <w:vAlign w:val="center"/>
            <w:shd w:fill="F2F4F6"/>
          </w:tcPr>
          <w:p>
            <w:r/>
            <w:r>
              <w:rPr>
                <w:rFonts w:ascii="Aptos" w:hAnsi="Aptos"/>
                <w:b w:val="0"/>
                <w:sz w:val="17"/>
              </w:rPr>
              <w:t>4.8</w:t>
            </w:r>
          </w:p>
        </w:tc>
        <w:tc>
          <w:tcPr>
            <w:tcW w:type="dxa" w:w="4680"/>
            <w:vAlign w:val="center"/>
            <w:shd w:fill="F2F4F6"/>
          </w:tcPr>
          <w:p>
            <w:r/>
            <w:r>
              <w:rPr>
                <w:rFonts w:ascii="Aptos" w:hAnsi="Aptos"/>
                <w:b w:val="0"/>
                <w:sz w:val="17"/>
              </w:rPr>
              <w:t>Differentiated dosing but crowded diabetes market.</w:t>
            </w:r>
          </w:p>
        </w:tc>
      </w:tr>
      <w:tr>
        <w:tc>
          <w:tcPr>
            <w:tcW w:type="dxa" w:w="2880"/>
            <w:vAlign w:val="center"/>
            <w:shd w:fill="FFFFFF"/>
          </w:tcPr>
          <w:p>
            <w:r/>
            <w:r>
              <w:rPr>
                <w:rFonts w:ascii="Aptos" w:hAnsi="Aptos"/>
                <w:b w:val="0"/>
                <w:sz w:val="17"/>
              </w:rPr>
              <w:t>Pricing and market access</w:t>
            </w:r>
          </w:p>
        </w:tc>
        <w:tc>
          <w:tcPr>
            <w:tcW w:type="dxa" w:w="792"/>
            <w:vAlign w:val="center"/>
            <w:shd w:fill="FFFFFF"/>
          </w:tcPr>
          <w:p>
            <w:r/>
            <w:r>
              <w:rPr>
                <w:rFonts w:ascii="Aptos" w:hAnsi="Aptos"/>
                <w:b w:val="0"/>
                <w:sz w:val="17"/>
              </w:rPr>
              <w:t>7</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1.4</w:t>
            </w:r>
          </w:p>
        </w:tc>
        <w:tc>
          <w:tcPr>
            <w:tcW w:type="dxa" w:w="4680"/>
            <w:vAlign w:val="center"/>
            <w:shd w:fill="FFFFFF"/>
          </w:tcPr>
          <w:p>
            <w:r/>
            <w:r>
              <w:rPr>
                <w:rFonts w:ascii="Aptos" w:hAnsi="Aptos"/>
                <w:b w:val="0"/>
                <w:sz w:val="17"/>
              </w:rPr>
              <w:t>Conservative score because authoritative India-specific diligence data were not supplied.</w:t>
            </w:r>
          </w:p>
        </w:tc>
      </w:tr>
      <w:tr>
        <w:tc>
          <w:tcPr>
            <w:tcW w:type="dxa" w:w="2880"/>
            <w:vAlign w:val="center"/>
            <w:shd w:fill="F2F4F6"/>
          </w:tcPr>
          <w:p>
            <w:r/>
            <w:r>
              <w:rPr>
                <w:rFonts w:ascii="Aptos" w:hAnsi="Aptos"/>
                <w:b w:val="0"/>
                <w:sz w:val="17"/>
              </w:rPr>
              <w:t>API economics and supply</w:t>
            </w:r>
          </w:p>
        </w:tc>
        <w:tc>
          <w:tcPr>
            <w:tcW w:type="dxa" w:w="792"/>
            <w:vAlign w:val="center"/>
            <w:shd w:fill="F2F4F6"/>
          </w:tcPr>
          <w:p>
            <w:r/>
            <w:r>
              <w:rPr>
                <w:rFonts w:ascii="Aptos" w:hAnsi="Aptos"/>
                <w:b w:val="0"/>
                <w:sz w:val="17"/>
              </w:rPr>
              <w:t>5</w:t>
            </w:r>
          </w:p>
        </w:tc>
        <w:tc>
          <w:tcPr>
            <w:tcW w:type="dxa" w:w="936"/>
            <w:vAlign w:val="center"/>
            <w:shd w:fill="F2F4F6"/>
          </w:tcPr>
          <w:p>
            <w:r/>
            <w:r>
              <w:rPr>
                <w:rFonts w:ascii="Aptos" w:hAnsi="Aptos"/>
                <w:b w:val="0"/>
                <w:sz w:val="17"/>
              </w:rPr>
              <w:t>1</w:t>
            </w:r>
          </w:p>
        </w:tc>
        <w:tc>
          <w:tcPr>
            <w:tcW w:type="dxa" w:w="936"/>
            <w:vAlign w:val="center"/>
            <w:shd w:fill="F2F4F6"/>
          </w:tcPr>
          <w:p>
            <w:r/>
            <w:r>
              <w:rPr>
                <w:rFonts w:ascii="Aptos" w:hAnsi="Aptos"/>
                <w:b w:val="0"/>
                <w:sz w:val="17"/>
              </w:rPr>
              <w:t>1.0</w:t>
            </w:r>
          </w:p>
        </w:tc>
        <w:tc>
          <w:tcPr>
            <w:tcW w:type="dxa" w:w="4680"/>
            <w:vAlign w:val="center"/>
            <w:shd w:fill="F2F4F6"/>
          </w:tcPr>
          <w:p>
            <w:r/>
            <w:r>
              <w:rPr>
                <w:rFonts w:ascii="Aptos" w:hAnsi="Aptos"/>
                <w:b w:val="0"/>
                <w:sz w:val="17"/>
              </w:rPr>
              <w:t>Conservative score because authoritative India-specific diligence data were not supplied.</w:t>
            </w:r>
          </w:p>
        </w:tc>
      </w:tr>
      <w:tr>
        <w:tc>
          <w:tcPr>
            <w:tcW w:type="dxa" w:w="2880"/>
            <w:vAlign w:val="center"/>
            <w:shd w:fill="FFFFFF"/>
          </w:tcPr>
          <w:p>
            <w:r/>
            <w:r>
              <w:rPr>
                <w:rFonts w:ascii="Aptos" w:hAnsi="Aptos"/>
                <w:b w:val="0"/>
                <w:sz w:val="17"/>
              </w:rPr>
              <w:t>Commercial attractiveness</w:t>
            </w:r>
          </w:p>
        </w:tc>
        <w:tc>
          <w:tcPr>
            <w:tcW w:type="dxa" w:w="792"/>
            <w:vAlign w:val="center"/>
            <w:shd w:fill="FFFFFF"/>
          </w:tcPr>
          <w:p>
            <w:r/>
            <w:r>
              <w:rPr>
                <w:rFonts w:ascii="Aptos" w:hAnsi="Aptos"/>
                <w:b w:val="0"/>
                <w:sz w:val="17"/>
              </w:rPr>
              <w:t>6</w:t>
            </w:r>
          </w:p>
        </w:tc>
        <w:tc>
          <w:tcPr>
            <w:tcW w:type="dxa" w:w="936"/>
            <w:vAlign w:val="center"/>
            <w:shd w:fill="FFFFFF"/>
          </w:tcPr>
          <w:p>
            <w:r/>
            <w:r>
              <w:rPr>
                <w:rFonts w:ascii="Aptos" w:hAnsi="Aptos"/>
                <w:b w:val="0"/>
                <w:sz w:val="17"/>
              </w:rPr>
              <w:t>3</w:t>
            </w:r>
          </w:p>
        </w:tc>
        <w:tc>
          <w:tcPr>
            <w:tcW w:type="dxa" w:w="936"/>
            <w:vAlign w:val="center"/>
            <w:shd w:fill="FFFFFF"/>
          </w:tcPr>
          <w:p>
            <w:r/>
            <w:r>
              <w:rPr>
                <w:rFonts w:ascii="Aptos" w:hAnsi="Aptos"/>
                <w:b w:val="0"/>
                <w:sz w:val="17"/>
              </w:rPr>
              <w:t>3.6</w:t>
            </w:r>
          </w:p>
        </w:tc>
        <w:tc>
          <w:tcPr>
            <w:tcW w:type="dxa" w:w="4680"/>
            <w:vAlign w:val="center"/>
            <w:shd w:fill="FFFFFF"/>
          </w:tcPr>
          <w:p>
            <w:r/>
            <w:r>
              <w:rPr>
                <w:rFonts w:ascii="Aptos" w:hAnsi="Aptos"/>
                <w:b w:val="0"/>
                <w:sz w:val="17"/>
              </w:rPr>
              <w:t>Potential niche value; no validated forecast or market data.</w:t>
            </w:r>
          </w:p>
        </w:tc>
      </w:tr>
      <w:tr>
        <w:tc>
          <w:tcPr>
            <w:tcW w:type="dxa" w:w="2880"/>
            <w:vAlign w:val="center"/>
            <w:shd w:fill="F2F4F6"/>
          </w:tcPr>
          <w:p>
            <w:r/>
            <w:r>
              <w:rPr>
                <w:rFonts w:ascii="Aptos" w:hAnsi="Aptos"/>
                <w:b w:val="0"/>
                <w:sz w:val="17"/>
              </w:rPr>
              <w:t>Strategic fit with company product mix</w:t>
            </w:r>
          </w:p>
        </w:tc>
        <w:tc>
          <w:tcPr>
            <w:tcW w:type="dxa" w:w="792"/>
            <w:vAlign w:val="center"/>
            <w:shd w:fill="F2F4F6"/>
          </w:tcPr>
          <w:p>
            <w:r/>
            <w:r>
              <w:rPr>
                <w:rFonts w:ascii="Aptos" w:hAnsi="Aptos"/>
                <w:b w:val="0"/>
                <w:sz w:val="17"/>
              </w:rPr>
              <w:t>6</w:t>
            </w:r>
          </w:p>
        </w:tc>
        <w:tc>
          <w:tcPr>
            <w:tcW w:type="dxa" w:w="936"/>
            <w:vAlign w:val="center"/>
            <w:shd w:fill="F2F4F6"/>
          </w:tcPr>
          <w:p>
            <w:r/>
            <w:r>
              <w:rPr>
                <w:rFonts w:ascii="Aptos" w:hAnsi="Aptos"/>
                <w:b w:val="0"/>
                <w:sz w:val="17"/>
              </w:rPr>
              <w:t>3</w:t>
            </w:r>
          </w:p>
        </w:tc>
        <w:tc>
          <w:tcPr>
            <w:tcW w:type="dxa" w:w="936"/>
            <w:vAlign w:val="center"/>
            <w:shd w:fill="F2F4F6"/>
          </w:tcPr>
          <w:p>
            <w:r/>
            <w:r>
              <w:rPr>
                <w:rFonts w:ascii="Aptos" w:hAnsi="Aptos"/>
                <w:b w:val="0"/>
                <w:sz w:val="17"/>
              </w:rPr>
              <w:t>3.6</w:t>
            </w:r>
          </w:p>
        </w:tc>
        <w:tc>
          <w:tcPr>
            <w:tcW w:type="dxa" w:w="4680"/>
            <w:vAlign w:val="center"/>
            <w:shd w:fill="F2F4F6"/>
          </w:tcPr>
          <w:p>
            <w:r/>
            <w:r>
              <w:rPr>
                <w:rFonts w:ascii="Aptos" w:hAnsi="Aptos"/>
                <w:b w:val="0"/>
                <w:sz w:val="17"/>
              </w:rPr>
              <w:t>Potentially useful in a diabetes portfolio, subject to call-point and franchise assessment.</w:t>
            </w:r>
          </w:p>
        </w:tc>
      </w:tr>
      <w:tr>
        <w:tc>
          <w:tcPr>
            <w:tcW w:type="dxa" w:w="2880"/>
            <w:vAlign w:val="center"/>
            <w:shd w:fill="FFFFFF"/>
          </w:tcPr>
          <w:p>
            <w:r/>
            <w:r>
              <w:rPr>
                <w:rFonts w:ascii="Aptos" w:hAnsi="Aptos"/>
                <w:b w:val="0"/>
                <w:sz w:val="17"/>
              </w:rPr>
              <w:t>Operational and CMC feasibility</w:t>
            </w:r>
          </w:p>
        </w:tc>
        <w:tc>
          <w:tcPr>
            <w:tcW w:type="dxa" w:w="792"/>
            <w:vAlign w:val="center"/>
            <w:shd w:fill="FFFFFF"/>
          </w:tcPr>
          <w:p>
            <w:r/>
            <w:r>
              <w:rPr>
                <w:rFonts w:ascii="Aptos" w:hAnsi="Aptos"/>
                <w:b w:val="0"/>
                <w:sz w:val="17"/>
              </w:rPr>
              <w:t>4</w:t>
            </w:r>
          </w:p>
        </w:tc>
        <w:tc>
          <w:tcPr>
            <w:tcW w:type="dxa" w:w="936"/>
            <w:vAlign w:val="center"/>
            <w:shd w:fill="FFFFFF"/>
          </w:tcPr>
          <w:p>
            <w:r/>
            <w:r>
              <w:rPr>
                <w:rFonts w:ascii="Aptos" w:hAnsi="Aptos"/>
                <w:b w:val="0"/>
                <w:sz w:val="17"/>
              </w:rPr>
              <w:t>2</w:t>
            </w:r>
          </w:p>
        </w:tc>
        <w:tc>
          <w:tcPr>
            <w:tcW w:type="dxa" w:w="936"/>
            <w:vAlign w:val="center"/>
            <w:shd w:fill="FFFFFF"/>
          </w:tcPr>
          <w:p>
            <w:r/>
            <w:r>
              <w:rPr>
                <w:rFonts w:ascii="Aptos" w:hAnsi="Aptos"/>
                <w:b w:val="0"/>
                <w:sz w:val="17"/>
              </w:rPr>
              <w:t>1.6</w:t>
            </w:r>
          </w:p>
        </w:tc>
        <w:tc>
          <w:tcPr>
            <w:tcW w:type="dxa" w:w="4680"/>
            <w:vAlign w:val="center"/>
            <w:shd w:fill="FFFFFF"/>
          </w:tcPr>
          <w:p>
            <w:r/>
            <w:r>
              <w:rPr>
                <w:rFonts w:ascii="Aptos" w:hAnsi="Aptos"/>
                <w:b w:val="0"/>
                <w:sz w:val="17"/>
              </w:rPr>
              <w:t>No validated CMC or launch-readiness package supplied.</w:t>
            </w:r>
          </w:p>
        </w:tc>
      </w:tr>
      <w:tr>
        <w:tc>
          <w:tcPr>
            <w:tcW w:type="dxa" w:w="2880"/>
            <w:vAlign w:val="center"/>
            <w:shd w:fill="F2F4F6"/>
          </w:tcPr>
          <w:p>
            <w:r/>
            <w:r>
              <w:rPr>
                <w:rFonts w:ascii="Aptos" w:hAnsi="Aptos"/>
                <w:b w:val="0"/>
                <w:sz w:val="17"/>
              </w:rPr>
              <w:t>HCP value proposition</w:t>
            </w:r>
          </w:p>
        </w:tc>
        <w:tc>
          <w:tcPr>
            <w:tcW w:type="dxa" w:w="792"/>
            <w:vAlign w:val="center"/>
            <w:shd w:fill="F2F4F6"/>
          </w:tcPr>
          <w:p>
            <w:r/>
            <w:r>
              <w:rPr>
                <w:rFonts w:ascii="Aptos" w:hAnsi="Aptos"/>
                <w:b w:val="0"/>
                <w:sz w:val="17"/>
              </w:rPr>
              <w:t>4</w:t>
            </w:r>
          </w:p>
        </w:tc>
        <w:tc>
          <w:tcPr>
            <w:tcW w:type="dxa" w:w="936"/>
            <w:vAlign w:val="center"/>
            <w:shd w:fill="F2F4F6"/>
          </w:tcPr>
          <w:p>
            <w:r/>
            <w:r>
              <w:rPr>
                <w:rFonts w:ascii="Aptos" w:hAnsi="Aptos"/>
                <w:b w:val="0"/>
                <w:sz w:val="17"/>
              </w:rPr>
              <w:t>4</w:t>
            </w:r>
          </w:p>
        </w:tc>
        <w:tc>
          <w:tcPr>
            <w:tcW w:type="dxa" w:w="936"/>
            <w:vAlign w:val="center"/>
            <w:shd w:fill="F2F4F6"/>
          </w:tcPr>
          <w:p>
            <w:r/>
            <w:r>
              <w:rPr>
                <w:rFonts w:ascii="Aptos" w:hAnsi="Aptos"/>
                <w:b w:val="0"/>
                <w:sz w:val="17"/>
              </w:rPr>
              <w:t>3.2</w:t>
            </w:r>
          </w:p>
        </w:tc>
        <w:tc>
          <w:tcPr>
            <w:tcW w:type="dxa" w:w="4680"/>
            <w:vAlign w:val="center"/>
            <w:shd w:fill="F2F4F6"/>
          </w:tcPr>
          <w:p>
            <w:r/>
            <w:r>
              <w:rPr>
                <w:rFonts w:ascii="Aptos" w:hAnsi="Aptos"/>
                <w:b w:val="0"/>
                <w:sz w:val="17"/>
              </w:rPr>
              <w:t>Simple once-weekly proposition, but must avoid unproven adherence claims.</w:t>
            </w:r>
          </w:p>
        </w:tc>
      </w:tr>
      <w:tr>
        <w:tc>
          <w:tcPr>
            <w:tcW w:type="dxa" w:w="2880"/>
            <w:vAlign w:val="center"/>
            <w:shd w:fill="FFFFFF"/>
          </w:tcPr>
          <w:p>
            <w:r/>
            <w:r>
              <w:rPr>
                <w:rFonts w:ascii="Aptos" w:hAnsi="Aptos"/>
                <w:b w:val="0"/>
                <w:sz w:val="17"/>
              </w:rPr>
              <w:t>Evidence quality and digital intelligence</w:t>
            </w:r>
          </w:p>
        </w:tc>
        <w:tc>
          <w:tcPr>
            <w:tcW w:type="dxa" w:w="792"/>
            <w:vAlign w:val="center"/>
            <w:shd w:fill="FFFFFF"/>
          </w:tcPr>
          <w:p>
            <w:r/>
            <w:r>
              <w:rPr>
                <w:rFonts w:ascii="Aptos" w:hAnsi="Aptos"/>
                <w:b w:val="0"/>
                <w:sz w:val="17"/>
              </w:rPr>
              <w:t>3</w:t>
            </w:r>
          </w:p>
        </w:tc>
        <w:tc>
          <w:tcPr>
            <w:tcW w:type="dxa" w:w="936"/>
            <w:vAlign w:val="center"/>
            <w:shd w:fill="FFFFFF"/>
          </w:tcPr>
          <w:p>
            <w:r/>
            <w:r>
              <w:rPr>
                <w:rFonts w:ascii="Aptos" w:hAnsi="Aptos"/>
                <w:b w:val="0"/>
                <w:sz w:val="17"/>
              </w:rPr>
              <w:t>3</w:t>
            </w:r>
          </w:p>
        </w:tc>
        <w:tc>
          <w:tcPr>
            <w:tcW w:type="dxa" w:w="936"/>
            <w:vAlign w:val="center"/>
            <w:shd w:fill="FFFFFF"/>
          </w:tcPr>
          <w:p>
            <w:r/>
            <w:r>
              <w:rPr>
                <w:rFonts w:ascii="Aptos" w:hAnsi="Aptos"/>
                <w:b w:val="0"/>
                <w:sz w:val="17"/>
              </w:rPr>
              <w:t>1.8</w:t>
            </w:r>
          </w:p>
        </w:tc>
        <w:tc>
          <w:tcPr>
            <w:tcW w:type="dxa" w:w="4680"/>
            <w:vAlign w:val="center"/>
            <w:shd w:fill="FFFFFF"/>
          </w:tcPr>
          <w:p>
            <w:r/>
            <w:r>
              <w:rPr>
                <w:rFonts w:ascii="Aptos" w:hAnsi="Aptos"/>
                <w:b w:val="0"/>
                <w:sz w:val="17"/>
              </w:rPr>
              <w:t>Several credible sources; important commercial and operational gaps.</w:t>
            </w:r>
          </w:p>
        </w:tc>
      </w:tr>
      <w:tr>
        <w:tc>
          <w:tcPr>
            <w:tcW w:type="dxa" w:w="2880"/>
            <w:vAlign w:val="center"/>
            <w:shd w:fill="F2F4F6"/>
          </w:tcPr>
          <w:p>
            <w:r/>
            <w:r>
              <w:rPr>
                <w:rFonts w:ascii="Aptos" w:hAnsi="Aptos"/>
                <w:b w:val="0"/>
                <w:sz w:val="17"/>
              </w:rPr>
              <w:t>Reputation, ethics, and access</w:t>
            </w:r>
          </w:p>
        </w:tc>
        <w:tc>
          <w:tcPr>
            <w:tcW w:type="dxa" w:w="792"/>
            <w:vAlign w:val="center"/>
            <w:shd w:fill="F2F4F6"/>
          </w:tcPr>
          <w:p>
            <w:r/>
            <w:r>
              <w:rPr>
                <w:rFonts w:ascii="Aptos" w:hAnsi="Aptos"/>
                <w:b w:val="0"/>
                <w:sz w:val="17"/>
              </w:rPr>
              <w:t>1</w:t>
            </w:r>
          </w:p>
        </w:tc>
        <w:tc>
          <w:tcPr>
            <w:tcW w:type="dxa" w:w="936"/>
            <w:vAlign w:val="center"/>
            <w:shd w:fill="F2F4F6"/>
          </w:tcPr>
          <w:p>
            <w:r/>
            <w:r>
              <w:rPr>
                <w:rFonts w:ascii="Aptos" w:hAnsi="Aptos"/>
                <w:b w:val="0"/>
                <w:sz w:val="17"/>
              </w:rPr>
              <w:t>3</w:t>
            </w:r>
          </w:p>
        </w:tc>
        <w:tc>
          <w:tcPr>
            <w:tcW w:type="dxa" w:w="936"/>
            <w:vAlign w:val="center"/>
            <w:shd w:fill="F2F4F6"/>
          </w:tcPr>
          <w:p>
            <w:r/>
            <w:r>
              <w:rPr>
                <w:rFonts w:ascii="Aptos" w:hAnsi="Aptos"/>
                <w:b w:val="0"/>
                <w:sz w:val="17"/>
              </w:rPr>
              <w:t>0.6</w:t>
            </w:r>
          </w:p>
        </w:tc>
        <w:tc>
          <w:tcPr>
            <w:tcW w:type="dxa" w:w="4680"/>
            <w:vAlign w:val="center"/>
            <w:shd w:fill="F2F4F6"/>
          </w:tcPr>
          <w:p>
            <w:r/>
            <w:r>
              <w:rPr>
                <w:rFonts w:ascii="Aptos" w:hAnsi="Aptos"/>
                <w:b w:val="0"/>
                <w:sz w:val="17"/>
              </w:rPr>
              <w:t>Oral convenience may be useful; affordability and access are unknown.</w:t>
            </w:r>
          </w:p>
        </w:tc>
      </w:tr>
    </w:tbl>
    <w:p>
      <w:pPr>
        <w:spacing w:after="40"/>
      </w:pPr>
    </w:p>
    <w:p>
      <w:pPr>
        <w:jc w:val="right"/>
      </w:pPr>
      <w:r>
        <w:rPr>
          <w:b/>
          <w:color w:val="137C7B"/>
          <w:sz w:val="24"/>
        </w:rPr>
        <w:t>Total preliminary weighted score: 57.2 / 100</w:t>
      </w:r>
    </w:p>
    <w:p>
      <w:pPr>
        <w:pStyle w:val="Heading1"/>
        <w:keepNext/>
      </w:pPr>
      <w:r>
        <w:t>7. Mandatory Red-Flag Review</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vAlign w:val="center"/>
            <w:shd w:fill="F5E6B7"/>
          </w:tcPr>
          <w:p>
            <w:r/>
            <w:r>
              <w:rPr>
                <w:rFonts w:ascii="Aptos" w:hAnsi="Aptos"/>
                <w:b/>
                <w:color w:val="FFFFFF"/>
                <w:sz w:val="17"/>
              </w:rPr>
              <w:t>Area</w:t>
            </w:r>
          </w:p>
        </w:tc>
        <w:tc>
          <w:tcPr>
            <w:tcW w:type="dxa" w:w="4896"/>
            <w:vAlign w:val="center"/>
            <w:shd w:fill="F5E6B7"/>
          </w:tcPr>
          <w:p>
            <w:r/>
            <w:r>
              <w:rPr>
                <w:rFonts w:ascii="Aptos" w:hAnsi="Aptos"/>
                <w:b/>
                <w:color w:val="FFFFFF"/>
                <w:sz w:val="17"/>
              </w:rPr>
              <w:t>Finding</w:t>
            </w:r>
          </w:p>
        </w:tc>
        <w:tc>
          <w:tcPr>
            <w:tcW w:type="dxa" w:w="3384"/>
            <w:vAlign w:val="center"/>
            <w:shd w:fill="F5E6B7"/>
          </w:tcPr>
          <w:p>
            <w:r/>
            <w:r>
              <w:rPr>
                <w:rFonts w:ascii="Aptos" w:hAnsi="Aptos"/>
                <w:b/>
                <w:color w:val="FFFFFF"/>
                <w:sz w:val="17"/>
              </w:rPr>
              <w:t>Required disposition</w:t>
            </w:r>
          </w:p>
        </w:tc>
      </w:tr>
      <w:tr>
        <w:tc>
          <w:tcPr>
            <w:tcW w:type="dxa" w:w="1944"/>
            <w:vAlign w:val="center"/>
            <w:shd w:fill="FFFFFF"/>
          </w:tcPr>
          <w:p>
            <w:r/>
            <w:r>
              <w:rPr>
                <w:rFonts w:ascii="Aptos" w:hAnsi="Aptos"/>
                <w:b w:val="0"/>
                <w:sz w:val="17"/>
              </w:rPr>
              <w:t>Regulatory status</w:t>
            </w:r>
          </w:p>
        </w:tc>
        <w:tc>
          <w:tcPr>
            <w:tcW w:type="dxa" w:w="4896"/>
            <w:vAlign w:val="center"/>
            <w:shd w:fill="FFFFFF"/>
          </w:tcPr>
          <w:p>
            <w:r/>
            <w:r>
              <w:rPr>
                <w:rFonts w:ascii="Aptos" w:hAnsi="Aptos"/>
                <w:b w:val="0"/>
                <w:sz w:val="17"/>
              </w:rPr>
              <w:t>Current Indian approval and exact proposed label were not verified.</w:t>
            </w:r>
          </w:p>
        </w:tc>
        <w:tc>
          <w:tcPr>
            <w:tcW w:type="dxa" w:w="3384"/>
            <w:vAlign w:val="center"/>
            <w:shd w:fill="FFFFFF"/>
          </w:tcPr>
          <w:p>
            <w:r/>
            <w:r>
              <w:rPr>
                <w:rFonts w:ascii="Aptos" w:hAnsi="Aptos"/>
                <w:b w:val="0"/>
                <w:sz w:val="17"/>
              </w:rPr>
              <w:t>Must resolve before progression.</w:t>
            </w:r>
          </w:p>
        </w:tc>
      </w:tr>
      <w:tr>
        <w:tc>
          <w:tcPr>
            <w:tcW w:type="dxa" w:w="1944"/>
            <w:vAlign w:val="center"/>
            <w:shd w:fill="F2F4F6"/>
          </w:tcPr>
          <w:p>
            <w:r/>
            <w:r>
              <w:rPr>
                <w:rFonts w:ascii="Aptos" w:hAnsi="Aptos"/>
                <w:b w:val="0"/>
                <w:sz w:val="17"/>
              </w:rPr>
              <w:t>Patent/FTO</w:t>
            </w:r>
          </w:p>
        </w:tc>
        <w:tc>
          <w:tcPr>
            <w:tcW w:type="dxa" w:w="4896"/>
            <w:vAlign w:val="center"/>
            <w:shd w:fill="F2F4F6"/>
          </w:tcPr>
          <w:p>
            <w:r/>
            <w:r>
              <w:rPr>
                <w:rFonts w:ascii="Aptos" w:hAnsi="Aptos"/>
                <w:b w:val="0"/>
                <w:sz w:val="17"/>
              </w:rPr>
              <w:t>No authoritative patent or freedom-to-operate assessment was available.</w:t>
            </w:r>
          </w:p>
        </w:tc>
        <w:tc>
          <w:tcPr>
            <w:tcW w:type="dxa" w:w="3384"/>
            <w:vAlign w:val="center"/>
            <w:shd w:fill="F2F4F6"/>
          </w:tcPr>
          <w:p>
            <w:r/>
            <w:r>
              <w:rPr>
                <w:rFonts w:ascii="Aptos" w:hAnsi="Aptos"/>
                <w:b w:val="0"/>
                <w:sz w:val="17"/>
              </w:rPr>
              <w:t>Legal diligence required.</w:t>
            </w:r>
          </w:p>
        </w:tc>
      </w:tr>
      <w:tr>
        <w:tc>
          <w:tcPr>
            <w:tcW w:type="dxa" w:w="1944"/>
            <w:vAlign w:val="center"/>
            <w:shd w:fill="FFFFFF"/>
          </w:tcPr>
          <w:p>
            <w:r/>
            <w:r>
              <w:rPr>
                <w:rFonts w:ascii="Aptos" w:hAnsi="Aptos"/>
                <w:b w:val="0"/>
                <w:sz w:val="17"/>
              </w:rPr>
              <w:t>Commercial inputs</w:t>
            </w:r>
          </w:p>
        </w:tc>
        <w:tc>
          <w:tcPr>
            <w:tcW w:type="dxa" w:w="4896"/>
            <w:vAlign w:val="center"/>
            <w:shd w:fill="FFFFFF"/>
          </w:tcPr>
          <w:p>
            <w:r/>
            <w:r>
              <w:rPr>
                <w:rFonts w:ascii="Aptos" w:hAnsi="Aptos"/>
                <w:b w:val="0"/>
                <w:sz w:val="17"/>
              </w:rPr>
              <w:t>No validated India pricing, market share, forecast, or API cost data were supplied.</w:t>
            </w:r>
          </w:p>
        </w:tc>
        <w:tc>
          <w:tcPr>
            <w:tcW w:type="dxa" w:w="3384"/>
            <w:vAlign w:val="center"/>
            <w:shd w:fill="FFFFFF"/>
          </w:tcPr>
          <w:p>
            <w:r/>
            <w:r>
              <w:rPr>
                <w:rFonts w:ascii="Aptos" w:hAnsi="Aptos"/>
                <w:b w:val="0"/>
                <w:sz w:val="17"/>
              </w:rPr>
              <w:t>Commercial and supply diligence required.</w:t>
            </w:r>
          </w:p>
        </w:tc>
      </w:tr>
      <w:tr>
        <w:tc>
          <w:tcPr>
            <w:tcW w:type="dxa" w:w="1944"/>
            <w:vAlign w:val="center"/>
            <w:shd w:fill="F2F4F6"/>
          </w:tcPr>
          <w:p>
            <w:r/>
            <w:r>
              <w:rPr>
                <w:rFonts w:ascii="Aptos" w:hAnsi="Aptos"/>
                <w:b w:val="0"/>
                <w:sz w:val="17"/>
              </w:rPr>
              <w:t>Name identity</w:t>
            </w:r>
          </w:p>
        </w:tc>
        <w:tc>
          <w:tcPr>
            <w:tcW w:type="dxa" w:w="4896"/>
            <w:vAlign w:val="center"/>
            <w:shd w:fill="F2F4F6"/>
          </w:tcPr>
          <w:p>
            <w:r/>
            <w:r>
              <w:rPr>
                <w:rFonts w:ascii="Aptos" w:hAnsi="Aptos"/>
                <w:b w:val="0"/>
                <w:sz w:val="17"/>
              </w:rPr>
              <w:t>Requested name differs from verified INN.</w:t>
            </w:r>
          </w:p>
        </w:tc>
        <w:tc>
          <w:tcPr>
            <w:tcW w:type="dxa" w:w="3384"/>
            <w:vAlign w:val="center"/>
            <w:shd w:fill="F2F4F6"/>
          </w:tcPr>
          <w:p>
            <w:r/>
            <w:r>
              <w:rPr>
                <w:rFonts w:ascii="Aptos" w:hAnsi="Aptos"/>
                <w:b w:val="0"/>
                <w:sz w:val="17"/>
              </w:rPr>
              <w:t>Owner confirmation required.</w:t>
            </w:r>
          </w:p>
        </w:tc>
      </w:tr>
    </w:tbl>
    <w:p>
      <w:pPr>
        <w:spacing w:after="40"/>
      </w:pPr>
    </w:p>
    <w:p>
      <w:pPr>
        <w:pStyle w:val="Heading1"/>
        <w:keepNext/>
      </w:pPr>
      <w:r>
        <w:t>8. Clinical, Safety, and Regulatory Interpretation</w:t>
      </w:r>
    </w:p>
    <w:p>
      <w:pPr>
        <w:pStyle w:val="ListBullet"/>
      </w:pPr>
      <w:r>
        <w:t>Clinical evidence supports glucose-lowering efficacy and non-inferiority in specific comparative studies; generalization beyond studied populations requires caution.</w:t>
      </w:r>
    </w:p>
    <w:p>
      <w:pPr>
        <w:pStyle w:val="ListBullet"/>
      </w:pPr>
      <w:r>
        <w:t>Once-weekly dosing is a practical differentiator, but improved adherence or outcomes must not be claimed without evidence.</w:t>
      </w:r>
    </w:p>
    <w:p>
      <w:pPr>
        <w:pStyle w:val="ListBullet"/>
      </w:pPr>
      <w:r>
        <w:t>Japan regulatory review is verified. Exact current India approval, label, dose, warnings, and permitted claims require authoritative confirmation.</w:t>
      </w:r>
    </w:p>
    <w:p>
      <w:pPr>
        <w:pStyle w:val="ListBullet"/>
      </w:pPr>
      <w:r>
        <w:t>A full safety review should use the effective local label, current PV information, and class-specific risks before progression.</w:t>
      </w:r>
    </w:p>
    <w:p>
      <w:pPr>
        <w:pStyle w:val="Heading1"/>
        <w:keepNext/>
      </w:pPr>
      <w:r>
        <w:t>9. Cross-Functional Diligence Plan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vAlign w:val="center"/>
            <w:shd w:fill="18324A"/>
          </w:tcPr>
          <w:p>
            <w:r/>
            <w:r>
              <w:rPr>
                <w:rFonts w:ascii="Aptos" w:hAnsi="Aptos"/>
                <w:b/>
                <w:color w:val="FFFFFF"/>
                <w:sz w:val="17"/>
              </w:rPr>
              <w:t>Function</w:t>
            </w:r>
          </w:p>
        </w:tc>
        <w:tc>
          <w:tcPr>
            <w:tcW w:type="dxa" w:w="7128"/>
            <w:vAlign w:val="center"/>
            <w:shd w:fill="18324A"/>
          </w:tcPr>
          <w:p>
            <w:r/>
            <w:r>
              <w:rPr>
                <w:rFonts w:ascii="Aptos" w:hAnsi="Aptos"/>
                <w:b/>
                <w:color w:val="FFFFFF"/>
                <w:sz w:val="17"/>
              </w:rPr>
              <w:t>Required action</w:t>
            </w:r>
          </w:p>
        </w:tc>
        <w:tc>
          <w:tcPr>
            <w:tcW w:type="dxa" w:w="1152"/>
            <w:vAlign w:val="center"/>
            <w:shd w:fill="18324A"/>
          </w:tcPr>
          <w:p>
            <w:r/>
            <w:r>
              <w:rPr>
                <w:rFonts w:ascii="Aptos" w:hAnsi="Aptos"/>
                <w:b/>
                <w:color w:val="FFFFFF"/>
                <w:sz w:val="17"/>
              </w:rPr>
              <w:t>Priority</w:t>
            </w:r>
          </w:p>
        </w:tc>
      </w:tr>
      <w:tr>
        <w:tc>
          <w:tcPr>
            <w:tcW w:type="dxa" w:w="1944"/>
            <w:vAlign w:val="center"/>
            <w:shd w:fill="FFFFFF"/>
          </w:tcPr>
          <w:p>
            <w:r/>
            <w:r>
              <w:rPr>
                <w:rFonts w:ascii="Aptos" w:hAnsi="Aptos"/>
                <w:b w:val="0"/>
                <w:sz w:val="17"/>
              </w:rPr>
              <w:t>Regulatory</w:t>
            </w:r>
          </w:p>
        </w:tc>
        <w:tc>
          <w:tcPr>
            <w:tcW w:type="dxa" w:w="7128"/>
            <w:vAlign w:val="center"/>
            <w:shd w:fill="FFFFFF"/>
          </w:tcPr>
          <w:p>
            <w:r/>
            <w:r>
              <w:rPr>
                <w:rFonts w:ascii="Aptos" w:hAnsi="Aptos"/>
                <w:b w:val="0"/>
                <w:sz w:val="17"/>
              </w:rPr>
              <w:t>Verify current India approval status, approved indications, dose, safety language, and change history.</w:t>
            </w:r>
          </w:p>
        </w:tc>
        <w:tc>
          <w:tcPr>
            <w:tcW w:type="dxa" w:w="1152"/>
            <w:vAlign w:val="center"/>
            <w:shd w:fill="FFFFFF"/>
          </w:tcPr>
          <w:p>
            <w:r/>
            <w:r>
              <w:rPr>
                <w:rFonts w:ascii="Aptos" w:hAnsi="Aptos"/>
                <w:b w:val="0"/>
                <w:sz w:val="17"/>
              </w:rPr>
              <w:t>Critical</w:t>
            </w:r>
          </w:p>
        </w:tc>
      </w:tr>
      <w:tr>
        <w:tc>
          <w:tcPr>
            <w:tcW w:type="dxa" w:w="1944"/>
            <w:vAlign w:val="center"/>
            <w:shd w:fill="F2F4F6"/>
          </w:tcPr>
          <w:p>
            <w:r/>
            <w:r>
              <w:rPr>
                <w:rFonts w:ascii="Aptos" w:hAnsi="Aptos"/>
                <w:b w:val="0"/>
                <w:sz w:val="17"/>
              </w:rPr>
              <w:t>Medical and PV</w:t>
            </w:r>
          </w:p>
        </w:tc>
        <w:tc>
          <w:tcPr>
            <w:tcW w:type="dxa" w:w="7128"/>
            <w:vAlign w:val="center"/>
            <w:shd w:fill="F2F4F6"/>
          </w:tcPr>
          <w:p>
            <w:r/>
            <w:r>
              <w:rPr>
                <w:rFonts w:ascii="Aptos" w:hAnsi="Aptos"/>
                <w:b w:val="0"/>
                <w:sz w:val="17"/>
              </w:rPr>
              <w:t>Complete evidence synthesis, local safety assessment, and risk-communication plan.</w:t>
            </w:r>
          </w:p>
        </w:tc>
        <w:tc>
          <w:tcPr>
            <w:tcW w:type="dxa" w:w="1152"/>
            <w:vAlign w:val="center"/>
            <w:shd w:fill="F2F4F6"/>
          </w:tcPr>
          <w:p>
            <w:r/>
            <w:r>
              <w:rPr>
                <w:rFonts w:ascii="Aptos" w:hAnsi="Aptos"/>
                <w:b w:val="0"/>
                <w:sz w:val="17"/>
              </w:rPr>
              <w:t>Critical</w:t>
            </w:r>
          </w:p>
        </w:tc>
      </w:tr>
      <w:tr>
        <w:tc>
          <w:tcPr>
            <w:tcW w:type="dxa" w:w="1944"/>
            <w:vAlign w:val="center"/>
            <w:shd w:fill="FFFFFF"/>
          </w:tcPr>
          <w:p>
            <w:r/>
            <w:r>
              <w:rPr>
                <w:rFonts w:ascii="Aptos" w:hAnsi="Aptos"/>
                <w:b w:val="0"/>
                <w:sz w:val="17"/>
              </w:rPr>
              <w:t>Patent and legal</w:t>
            </w:r>
          </w:p>
        </w:tc>
        <w:tc>
          <w:tcPr>
            <w:tcW w:type="dxa" w:w="7128"/>
            <w:vAlign w:val="center"/>
            <w:shd w:fill="FFFFFF"/>
          </w:tcPr>
          <w:p>
            <w:r/>
            <w:r>
              <w:rPr>
                <w:rFonts w:ascii="Aptos" w:hAnsi="Aptos"/>
                <w:b w:val="0"/>
                <w:sz w:val="17"/>
              </w:rPr>
              <w:t>Complete India patent landscape, exclusivity, FTO, litigation, and licensing assessment.</w:t>
            </w:r>
          </w:p>
        </w:tc>
        <w:tc>
          <w:tcPr>
            <w:tcW w:type="dxa" w:w="1152"/>
            <w:vAlign w:val="center"/>
            <w:shd w:fill="FFFFFF"/>
          </w:tcPr>
          <w:p>
            <w:r/>
            <w:r>
              <w:rPr>
                <w:rFonts w:ascii="Aptos" w:hAnsi="Aptos"/>
                <w:b w:val="0"/>
                <w:sz w:val="17"/>
              </w:rPr>
              <w:t>Critical</w:t>
            </w:r>
          </w:p>
        </w:tc>
      </w:tr>
      <w:tr>
        <w:tc>
          <w:tcPr>
            <w:tcW w:type="dxa" w:w="1944"/>
            <w:vAlign w:val="center"/>
            <w:shd w:fill="F2F4F6"/>
          </w:tcPr>
          <w:p>
            <w:r/>
            <w:r>
              <w:rPr>
                <w:rFonts w:ascii="Aptos" w:hAnsi="Aptos"/>
                <w:b w:val="0"/>
                <w:sz w:val="17"/>
              </w:rPr>
              <w:t>Commercial and market access</w:t>
            </w:r>
          </w:p>
        </w:tc>
        <w:tc>
          <w:tcPr>
            <w:tcW w:type="dxa" w:w="7128"/>
            <w:vAlign w:val="center"/>
            <w:shd w:fill="F2F4F6"/>
          </w:tcPr>
          <w:p>
            <w:r/>
            <w:r>
              <w:rPr>
                <w:rFonts w:ascii="Aptos" w:hAnsi="Aptos"/>
                <w:b w:val="0"/>
                <w:sz w:val="17"/>
              </w:rPr>
              <w:t>Validate market size, competitors, prices, affordability, channels, forecast, and portfolio fit.</w:t>
            </w:r>
          </w:p>
        </w:tc>
        <w:tc>
          <w:tcPr>
            <w:tcW w:type="dxa" w:w="1152"/>
            <w:vAlign w:val="center"/>
            <w:shd w:fill="F2F4F6"/>
          </w:tcPr>
          <w:p>
            <w:r/>
            <w:r>
              <w:rPr>
                <w:rFonts w:ascii="Aptos" w:hAnsi="Aptos"/>
                <w:b w:val="0"/>
                <w:sz w:val="17"/>
              </w:rPr>
              <w:t>Major</w:t>
            </w:r>
          </w:p>
        </w:tc>
      </w:tr>
      <w:tr>
        <w:tc>
          <w:tcPr>
            <w:tcW w:type="dxa" w:w="1944"/>
            <w:vAlign w:val="center"/>
            <w:shd w:fill="FFFFFF"/>
          </w:tcPr>
          <w:p>
            <w:r/>
            <w:r>
              <w:rPr>
                <w:rFonts w:ascii="Aptos" w:hAnsi="Aptos"/>
                <w:b w:val="0"/>
                <w:sz w:val="17"/>
              </w:rPr>
              <w:t>CMC and supply</w:t>
            </w:r>
          </w:p>
        </w:tc>
        <w:tc>
          <w:tcPr>
            <w:tcW w:type="dxa" w:w="7128"/>
            <w:vAlign w:val="center"/>
            <w:shd w:fill="FFFFFF"/>
          </w:tcPr>
          <w:p>
            <w:r/>
            <w:r>
              <w:rPr>
                <w:rFonts w:ascii="Aptos" w:hAnsi="Aptos"/>
                <w:b w:val="0"/>
                <w:sz w:val="17"/>
              </w:rPr>
              <w:t>Validate API source, cost, DMF, quality, capacity, stability, formulation, and launch feasibility.</w:t>
            </w:r>
          </w:p>
        </w:tc>
        <w:tc>
          <w:tcPr>
            <w:tcW w:type="dxa" w:w="1152"/>
            <w:vAlign w:val="center"/>
            <w:shd w:fill="FFFFFF"/>
          </w:tcPr>
          <w:p>
            <w:r/>
            <w:r>
              <w:rPr>
                <w:rFonts w:ascii="Aptos" w:hAnsi="Aptos"/>
                <w:b w:val="0"/>
                <w:sz w:val="17"/>
              </w:rPr>
              <w:t>Major</w:t>
            </w:r>
          </w:p>
        </w:tc>
      </w:tr>
      <w:tr>
        <w:tc>
          <w:tcPr>
            <w:tcW w:type="dxa" w:w="1944"/>
            <w:vAlign w:val="center"/>
            <w:shd w:fill="F2F4F6"/>
          </w:tcPr>
          <w:p>
            <w:r/>
            <w:r>
              <w:rPr>
                <w:rFonts w:ascii="Aptos" w:hAnsi="Aptos"/>
                <w:b w:val="0"/>
                <w:sz w:val="17"/>
              </w:rPr>
              <w:t>Quality</w:t>
            </w:r>
          </w:p>
        </w:tc>
        <w:tc>
          <w:tcPr>
            <w:tcW w:type="dxa" w:w="7128"/>
            <w:vAlign w:val="center"/>
            <w:shd w:fill="F2F4F6"/>
          </w:tcPr>
          <w:p>
            <w:r/>
            <w:r>
              <w:rPr>
                <w:rFonts w:ascii="Aptos" w:hAnsi="Aptos"/>
                <w:b w:val="0"/>
                <w:sz w:val="17"/>
              </w:rPr>
              <w:t>Confirm approved SOP, qualified reviewers, traceability, and controlled record requirements.</w:t>
            </w:r>
          </w:p>
        </w:tc>
        <w:tc>
          <w:tcPr>
            <w:tcW w:type="dxa" w:w="1152"/>
            <w:vAlign w:val="center"/>
            <w:shd w:fill="F2F4F6"/>
          </w:tcPr>
          <w:p>
            <w:r/>
            <w:r>
              <w:rPr>
                <w:rFonts w:ascii="Aptos" w:hAnsi="Aptos"/>
                <w:b w:val="0"/>
                <w:sz w:val="17"/>
              </w:rPr>
              <w:t>Major</w:t>
            </w:r>
          </w:p>
        </w:tc>
      </w:tr>
    </w:tbl>
    <w:p>
      <w:pPr>
        <w:spacing w:after="40"/>
      </w:pPr>
    </w:p>
    <w:p>
      <w:pPr>
        <w:pStyle w:val="Heading1"/>
        <w:keepNext/>
      </w:pPr>
      <w:r>
        <w:t>10. Preliminary Go/No-Go Interpretation</w:t>
      </w:r>
    </w:p>
    <w:p>
      <w:r>
        <w:rPr>
          <w:b/>
        </w:rPr>
        <w:t xml:space="preserve">Conditional candidate - diligence required before any Go/No-Go decision. </w:t>
      </w:r>
      <w:r>
        <w:t>Proceed only to a structured diligence stage. The once-weekly dosing proposition is differentiated, but Indian regulatory status, commercial opportunity, patent/FTO, API economics, supply readiness, and comparative long-term outcomes require verification.</w:t>
      </w:r>
    </w:p>
    <w:p>
      <w:r>
        <w:rPr>
          <w:b/>
        </w:rPr>
        <w:t xml:space="preserve">Decision boundary: </w:t>
      </w:r>
      <w:r>
        <w:t>The numeric score does not override unresolved critical red flags. This output supports diligence planning only.</w:t>
      </w:r>
    </w:p>
    <w:p>
      <w:pPr>
        <w:pStyle w:val="Heading1"/>
        <w:keepNext/>
      </w:pPr>
      <w:r>
        <w:t>11. Source Register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vAlign w:val="center"/>
            <w:shd w:fill="18324A"/>
          </w:tcPr>
          <w:p>
            <w:r/>
            <w:r>
              <w:rPr>
                <w:rFonts w:ascii="Aptos" w:hAnsi="Aptos"/>
                <w:b/>
                <w:color w:val="FFFFFF"/>
                <w:sz w:val="17"/>
              </w:rPr>
              <w:t>Source</w:t>
            </w:r>
          </w:p>
        </w:tc>
        <w:tc>
          <w:tcPr>
            <w:tcW w:type="dxa" w:w="4752"/>
            <w:vAlign w:val="center"/>
            <w:shd w:fill="18324A"/>
          </w:tcPr>
          <w:p>
            <w:r/>
            <w:r>
              <w:rPr>
                <w:rFonts w:ascii="Aptos" w:hAnsi="Aptos"/>
                <w:b/>
                <w:color w:val="FFFFFF"/>
                <w:sz w:val="17"/>
              </w:rPr>
              <w:t>Title</w:t>
            </w:r>
          </w:p>
        </w:tc>
        <w:tc>
          <w:tcPr>
            <w:tcW w:type="dxa" w:w="3312"/>
            <w:vAlign w:val="center"/>
            <w:shd w:fill="18324A"/>
          </w:tcPr>
          <w:p>
            <w:r/>
            <w:r>
              <w:rPr>
                <w:rFonts w:ascii="Aptos" w:hAnsi="Aptos"/>
                <w:b/>
                <w:color w:val="FFFFFF"/>
                <w:sz w:val="17"/>
              </w:rPr>
              <w:t>URL</w:t>
            </w:r>
          </w:p>
        </w:tc>
      </w:tr>
      <w:tr>
        <w:tc>
          <w:tcPr>
            <w:tcW w:type="dxa" w:w="2160"/>
            <w:vAlign w:val="center"/>
            <w:shd w:fill="FFFFFF"/>
          </w:tcPr>
          <w:p>
            <w:r/>
            <w:r>
              <w:rPr>
                <w:rFonts w:ascii="Aptos" w:hAnsi="Aptos"/>
                <w:b w:val="0"/>
                <w:sz w:val="17"/>
              </w:rPr>
              <w:t>PMDA</w:t>
            </w:r>
          </w:p>
        </w:tc>
        <w:tc>
          <w:tcPr>
            <w:tcW w:type="dxa" w:w="4752"/>
            <w:vAlign w:val="center"/>
            <w:shd w:fill="FFFFFF"/>
          </w:tcPr>
          <w:p>
            <w:r/>
            <w:r>
              <w:rPr>
                <w:rFonts w:ascii="Aptos" w:hAnsi="Aptos"/>
                <w:b w:val="0"/>
                <w:sz w:val="17"/>
              </w:rPr>
              <w:t>Report on the Deliberation Results: Zafatek (trelagliptin succinate)</w:t>
            </w:r>
          </w:p>
        </w:tc>
        <w:tc>
          <w:tcPr>
            <w:tcW w:type="dxa" w:w="3312"/>
            <w:vAlign w:val="center"/>
            <w:shd w:fill="FFFFFF"/>
          </w:tcPr>
          <w:p>
            <w:r/>
            <w:r>
              <w:rPr>
                <w:rFonts w:ascii="Aptos" w:hAnsi="Aptos"/>
                <w:b w:val="0"/>
                <w:sz w:val="17"/>
              </w:rPr>
              <w:t>https://www.pmda.go.jp/files/000213963.pdf</w:t>
            </w:r>
          </w:p>
        </w:tc>
      </w:tr>
      <w:tr>
        <w:tc>
          <w:tcPr>
            <w:tcW w:type="dxa" w:w="2160"/>
            <w:vAlign w:val="center"/>
            <w:shd w:fill="F2F4F6"/>
          </w:tcPr>
          <w:p>
            <w:r/>
            <w:r>
              <w:rPr>
                <w:rFonts w:ascii="Aptos" w:hAnsi="Aptos"/>
                <w:b w:val="0"/>
                <w:sz w:val="17"/>
              </w:rPr>
              <w:t>PubMed PMID 25609193</w:t>
            </w:r>
          </w:p>
        </w:tc>
        <w:tc>
          <w:tcPr>
            <w:tcW w:type="dxa" w:w="4752"/>
            <w:vAlign w:val="center"/>
            <w:shd w:fill="F2F4F6"/>
          </w:tcPr>
          <w:p>
            <w:r/>
            <w:r>
              <w:rPr>
                <w:rFonts w:ascii="Aptos" w:hAnsi="Aptos"/>
                <w:b w:val="0"/>
                <w:sz w:val="17"/>
              </w:rPr>
              <w:t>Once-weekly trelagliptin versus daily alogliptin</w:t>
            </w:r>
          </w:p>
        </w:tc>
        <w:tc>
          <w:tcPr>
            <w:tcW w:type="dxa" w:w="3312"/>
            <w:vAlign w:val="center"/>
            <w:shd w:fill="F2F4F6"/>
          </w:tcPr>
          <w:p>
            <w:r/>
            <w:r>
              <w:rPr>
                <w:rFonts w:ascii="Aptos" w:hAnsi="Aptos"/>
                <w:b w:val="0"/>
                <w:sz w:val="17"/>
              </w:rPr>
              <w:t>https://pubmed.ncbi.nlm.nih.gov/25609193/</w:t>
            </w:r>
          </w:p>
        </w:tc>
      </w:tr>
      <w:tr>
        <w:tc>
          <w:tcPr>
            <w:tcW w:type="dxa" w:w="2160"/>
            <w:vAlign w:val="center"/>
            <w:shd w:fill="FFFFFF"/>
          </w:tcPr>
          <w:p>
            <w:r/>
            <w:r>
              <w:rPr>
                <w:rFonts w:ascii="Aptos" w:hAnsi="Aptos"/>
                <w:b w:val="0"/>
                <w:sz w:val="17"/>
              </w:rPr>
              <w:t>PubMed PMID 28836351</w:t>
            </w:r>
          </w:p>
        </w:tc>
        <w:tc>
          <w:tcPr>
            <w:tcW w:type="dxa" w:w="4752"/>
            <w:vAlign w:val="center"/>
            <w:shd w:fill="FFFFFF"/>
          </w:tcPr>
          <w:p>
            <w:r/>
            <w:r>
              <w:rPr>
                <w:rFonts w:ascii="Aptos" w:hAnsi="Aptos"/>
                <w:b w:val="0"/>
                <w:sz w:val="17"/>
              </w:rPr>
              <w:t>Switching from daily DPP-4 inhibitor to trelagliptin</w:t>
            </w:r>
          </w:p>
        </w:tc>
        <w:tc>
          <w:tcPr>
            <w:tcW w:type="dxa" w:w="3312"/>
            <w:vAlign w:val="center"/>
            <w:shd w:fill="FFFFFF"/>
          </w:tcPr>
          <w:p>
            <w:r/>
            <w:r>
              <w:rPr>
                <w:rFonts w:ascii="Aptos" w:hAnsi="Aptos"/>
                <w:b w:val="0"/>
                <w:sz w:val="17"/>
              </w:rPr>
              <w:t>https://pubmed.ncbi.nlm.nih.gov/28836351/</w:t>
            </w:r>
          </w:p>
        </w:tc>
      </w:tr>
      <w:tr>
        <w:tc>
          <w:tcPr>
            <w:tcW w:type="dxa" w:w="2160"/>
            <w:vAlign w:val="center"/>
            <w:shd w:fill="F2F4F6"/>
          </w:tcPr>
          <w:p>
            <w:r/>
            <w:r>
              <w:rPr>
                <w:rFonts w:ascii="Aptos" w:hAnsi="Aptos"/>
                <w:b w:val="0"/>
                <w:sz w:val="17"/>
              </w:rPr>
              <w:t>PubMed PMID 40605903</w:t>
            </w:r>
          </w:p>
        </w:tc>
        <w:tc>
          <w:tcPr>
            <w:tcW w:type="dxa" w:w="4752"/>
            <w:vAlign w:val="center"/>
            <w:shd w:fill="F2F4F6"/>
          </w:tcPr>
          <w:p>
            <w:r/>
            <w:r>
              <w:rPr>
                <w:rFonts w:ascii="Aptos" w:hAnsi="Aptos"/>
                <w:b w:val="0"/>
                <w:sz w:val="17"/>
              </w:rPr>
              <w:t>Trelagliptin versus vildagliptin in Indian patients</w:t>
            </w:r>
          </w:p>
        </w:tc>
        <w:tc>
          <w:tcPr>
            <w:tcW w:type="dxa" w:w="3312"/>
            <w:vAlign w:val="center"/>
            <w:shd w:fill="F2F4F6"/>
          </w:tcPr>
          <w:p>
            <w:r/>
            <w:r>
              <w:rPr>
                <w:rFonts w:ascii="Aptos" w:hAnsi="Aptos"/>
                <w:b w:val="0"/>
                <w:sz w:val="17"/>
              </w:rPr>
              <w:t>https://pubmed.ncbi.nlm.nih.gov/40605903/</w:t>
            </w:r>
          </w:p>
        </w:tc>
      </w:tr>
      <w:tr>
        <w:tc>
          <w:tcPr>
            <w:tcW w:type="dxa" w:w="2160"/>
            <w:vAlign w:val="center"/>
            <w:shd w:fill="FFFFFF"/>
          </w:tcPr>
          <w:p>
            <w:r/>
            <w:r>
              <w:rPr>
                <w:rFonts w:ascii="Aptos" w:hAnsi="Aptos"/>
                <w:b w:val="0"/>
                <w:sz w:val="17"/>
              </w:rPr>
              <w:t>PubMed PMID 26115728</w:t>
            </w:r>
          </w:p>
        </w:tc>
        <w:tc>
          <w:tcPr>
            <w:tcW w:type="dxa" w:w="4752"/>
            <w:vAlign w:val="center"/>
            <w:shd w:fill="FFFFFF"/>
          </w:tcPr>
          <w:p>
            <w:r/>
            <w:r>
              <w:rPr>
                <w:rFonts w:ascii="Aptos" w:hAnsi="Aptos"/>
                <w:b w:val="0"/>
                <w:sz w:val="17"/>
              </w:rPr>
              <w:t>Trelagliptin: First Global Approval</w:t>
            </w:r>
          </w:p>
        </w:tc>
        <w:tc>
          <w:tcPr>
            <w:tcW w:type="dxa" w:w="3312"/>
            <w:vAlign w:val="center"/>
            <w:shd w:fill="FFFFFF"/>
          </w:tcPr>
          <w:p>
            <w:r/>
            <w:r>
              <w:rPr>
                <w:rFonts w:ascii="Aptos" w:hAnsi="Aptos"/>
                <w:b w:val="0"/>
                <w:sz w:val="17"/>
              </w:rPr>
              <w:t>https://pubmed.ncbi.nlm.nih.gov/26115728/</w:t>
            </w:r>
          </w:p>
        </w:tc>
      </w:tr>
    </w:tbl>
    <w:p>
      <w:pPr>
        <w:spacing w:after="40"/>
      </w:pPr>
    </w:p>
    <w:p>
      <w:pPr>
        <w:pStyle w:val="Heading1"/>
        <w:keepNext/>
      </w:pPr>
      <w:r>
        <w:t>12. Qualification and Review Status</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vAlign w:val="center"/>
            <w:shd w:fill="137C7B"/>
          </w:tcPr>
          <w:p>
            <w:r/>
            <w:r>
              <w:rPr>
                <w:rFonts w:ascii="Aptos" w:hAnsi="Aptos"/>
                <w:b/>
                <w:color w:val="FFFFFF"/>
                <w:sz w:val="17"/>
              </w:rPr>
              <w:t>Control</w:t>
            </w:r>
          </w:p>
        </w:tc>
        <w:tc>
          <w:tcPr>
            <w:tcW w:type="dxa" w:w="7056"/>
            <w:vAlign w:val="center"/>
            <w:shd w:fill="137C7B"/>
          </w:tcPr>
          <w:p>
            <w:r/>
            <w:r>
              <w:rPr>
                <w:rFonts w:ascii="Aptos" w:hAnsi="Aptos"/>
                <w:b/>
                <w:color w:val="FFFFFF"/>
                <w:sz w:val="17"/>
              </w:rPr>
              <w:t>Status</w:t>
            </w:r>
          </w:p>
        </w:tc>
      </w:tr>
      <w:tr>
        <w:tc>
          <w:tcPr>
            <w:tcW w:type="dxa" w:w="3168"/>
            <w:vAlign w:val="center"/>
            <w:shd w:fill="FFFFFF"/>
          </w:tcPr>
          <w:p>
            <w:r/>
            <w:r>
              <w:rPr>
                <w:rFonts w:ascii="Aptos" w:hAnsi="Aptos"/>
                <w:b w:val="0"/>
                <w:sz w:val="17"/>
              </w:rPr>
              <w:t>Business SOP consulted</w:t>
            </w:r>
          </w:p>
        </w:tc>
        <w:tc>
          <w:tcPr>
            <w:tcW w:type="dxa" w:w="7056"/>
            <w:vAlign w:val="center"/>
            <w:shd w:fill="FFFFFF"/>
          </w:tcPr>
          <w:p>
            <w:r/>
            <w:r>
              <w:rPr>
                <w:rFonts w:ascii="Aptos" w:hAnsi="Aptos"/>
                <w:b w:val="0"/>
                <w:sz w:val="17"/>
              </w:rPr>
              <w:t>Owner-supplied Product Appraisal SOP used as structural reference</w:t>
            </w:r>
          </w:p>
        </w:tc>
      </w:tr>
      <w:tr>
        <w:tc>
          <w:tcPr>
            <w:tcW w:type="dxa" w:w="3168"/>
            <w:vAlign w:val="center"/>
            <w:shd w:fill="F2F4F6"/>
          </w:tcPr>
          <w:p>
            <w:r/>
            <w:r>
              <w:rPr>
                <w:rFonts w:ascii="Aptos" w:hAnsi="Aptos"/>
                <w:b w:val="0"/>
                <w:sz w:val="17"/>
              </w:rPr>
              <w:t>Skill consulted</w:t>
            </w:r>
          </w:p>
        </w:tc>
        <w:tc>
          <w:tcPr>
            <w:tcW w:type="dxa" w:w="7056"/>
            <w:vAlign w:val="center"/>
            <w:shd w:fill="F2F4F6"/>
          </w:tcPr>
          <w:p>
            <w:r/>
            <w:r>
              <w:rPr>
                <w:rFonts w:ascii="Aptos" w:hAnsi="Aptos"/>
                <w:b w:val="0"/>
                <w:sz w:val="17"/>
              </w:rPr>
              <w:t>Owner-supplied Pharma Product Appraisal Skill Template used for scoring and content architecture</w:t>
            </w:r>
          </w:p>
        </w:tc>
      </w:tr>
      <w:tr>
        <w:tc>
          <w:tcPr>
            <w:tcW w:type="dxa" w:w="3168"/>
            <w:vAlign w:val="center"/>
            <w:shd w:fill="FFFFFF"/>
          </w:tcPr>
          <w:p>
            <w:r/>
            <w:r>
              <w:rPr>
                <w:rFonts w:ascii="Aptos" w:hAnsi="Aptos"/>
                <w:b w:val="0"/>
                <w:sz w:val="17"/>
              </w:rPr>
              <w:t>Evidence handling</w:t>
            </w:r>
          </w:p>
        </w:tc>
        <w:tc>
          <w:tcPr>
            <w:tcW w:type="dxa" w:w="7056"/>
            <w:vAlign w:val="center"/>
            <w:shd w:fill="FFFFFF"/>
          </w:tcPr>
          <w:p>
            <w:r/>
            <w:r>
              <w:rPr>
                <w:rFonts w:ascii="Aptos" w:hAnsi="Aptos"/>
                <w:b w:val="0"/>
                <w:sz w:val="17"/>
              </w:rPr>
              <w:t>Authoritative and peer-reviewed sources used; unavailable data explicitly marked</w:t>
            </w:r>
          </w:p>
        </w:tc>
      </w:tr>
      <w:tr>
        <w:tc>
          <w:tcPr>
            <w:tcW w:type="dxa" w:w="3168"/>
            <w:vAlign w:val="center"/>
            <w:shd w:fill="F2F4F6"/>
          </w:tcPr>
          <w:p>
            <w:r/>
            <w:r>
              <w:rPr>
                <w:rFonts w:ascii="Aptos" w:hAnsi="Aptos"/>
                <w:b w:val="0"/>
                <w:sz w:val="17"/>
              </w:rPr>
              <w:t>AI-generated content</w:t>
            </w:r>
          </w:p>
        </w:tc>
        <w:tc>
          <w:tcPr>
            <w:tcW w:type="dxa" w:w="7056"/>
            <w:vAlign w:val="center"/>
            <w:shd w:fill="F2F4F6"/>
          </w:tcPr>
          <w:p>
            <w:r/>
            <w:r>
              <w:rPr>
                <w:rFonts w:ascii="Aptos" w:hAnsi="Aptos"/>
                <w:b w:val="0"/>
                <w:sz w:val="17"/>
              </w:rPr>
              <w:t>Qualification draft requiring qualified human review</w:t>
            </w:r>
          </w:p>
        </w:tc>
      </w:tr>
      <w:tr>
        <w:tc>
          <w:tcPr>
            <w:tcW w:type="dxa" w:w="3168"/>
            <w:vAlign w:val="center"/>
            <w:shd w:fill="FFFFFF"/>
          </w:tcPr>
          <w:p>
            <w:r/>
            <w:r>
              <w:rPr>
                <w:rFonts w:ascii="Aptos" w:hAnsi="Aptos"/>
                <w:b w:val="0"/>
                <w:sz w:val="17"/>
              </w:rPr>
              <w:t>Internal approval</w:t>
            </w:r>
          </w:p>
        </w:tc>
        <w:tc>
          <w:tcPr>
            <w:tcW w:type="dxa" w:w="7056"/>
            <w:vAlign w:val="center"/>
            <w:shd w:fill="FFFFFF"/>
          </w:tcPr>
          <w:p>
            <w:r/>
            <w:r>
              <w:rPr>
                <w:rFonts w:ascii="Aptos" w:hAnsi="Aptos"/>
                <w:b w:val="0"/>
                <w:sz w:val="17"/>
              </w:rPr>
              <w:t>Pending qualification review</w:t>
            </w:r>
          </w:p>
        </w:tc>
      </w:tr>
      <w:tr>
        <w:tc>
          <w:tcPr>
            <w:tcW w:type="dxa" w:w="3168"/>
            <w:vAlign w:val="center"/>
            <w:shd w:fill="F2F4F6"/>
          </w:tcPr>
          <w:p>
            <w:r/>
            <w:r>
              <w:rPr>
                <w:rFonts w:ascii="Aptos" w:hAnsi="Aptos"/>
                <w:b w:val="0"/>
                <w:sz w:val="17"/>
              </w:rPr>
              <w:t>External use</w:t>
            </w:r>
          </w:p>
        </w:tc>
        <w:tc>
          <w:tcPr>
            <w:tcW w:type="dxa" w:w="7056"/>
            <w:vAlign w:val="center"/>
            <w:shd w:fill="F2F4F6"/>
          </w:tcPr>
          <w:p>
            <w:r/>
            <w:r>
              <w:rPr>
                <w:rFonts w:ascii="Aptos" w:hAnsi="Aptos"/>
                <w:b w:val="0"/>
                <w:sz w:val="17"/>
              </w:rPr>
              <w:t>Prohibited</w:t>
            </w:r>
          </w:p>
        </w:tc>
      </w:tr>
    </w:tbl>
    <w:p>
      <w:pPr>
        <w:spacing w:after="40"/>
      </w:pPr>
    </w:p>
    <w:sectPr w:rsidR="00FC693F" w:rsidRPr="0006063C" w:rsidSect="00034616">
      <w:footerReference w:type="default" r:id="rId9"/>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A7882"/>
        <w:sz w:val="14"/>
      </w:rPr>
      <w:t>ClinCommand OS | Internal Qualification Output | Dr. Bhupesh Dewan, Mumbai, Maharashtra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2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37C7B"/>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832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