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137C7B"/>
          <w:sz w:val="26"/>
        </w:rPr>
        <w:t>CLINCOMMAND OS</w:t>
      </w:r>
    </w:p>
    <w:p>
      <w:pPr>
        <w:pStyle w:val="Title"/>
        <w:jc w:val="center"/>
      </w:pPr>
      <w:r>
        <w:t>Product Appraisal</w:t>
        <w:br/>
        <w:t>Empagliflozin</w:t>
      </w:r>
    </w:p>
    <w:p>
      <w:pPr>
        <w:jc w:val="center"/>
      </w:pPr>
      <w:r>
        <w:rPr>
          <w:i/>
          <w:color w:val="18324A"/>
          <w:sz w:val="24"/>
        </w:rPr>
        <w:t>Preliminary India Portfolio and Medical-Strategy Appraisal</w:t>
      </w:r>
    </w:p>
    <w:p/>
    <w:tbl>
      <w:tblPr>
        <w:tblStyle w:val="TableGrid"/>
        <w:tblW w:type="auto" w:w="0"/>
        <w:jc w:val="center"/>
        <w:tblLayout w:type="fixed"/>
        <w:tblLook w:firstColumn="1" w:firstRow="1" w:lastColumn="0" w:lastRow="0" w:noHBand="0" w:noVBand="1" w:val="04A0"/>
      </w:tblPr>
      <w:tblGrid>
        <w:gridCol w:w="5040"/>
        <w:gridCol w:w="5040"/>
      </w:tblGrid>
      <w:tr>
        <w:tc>
          <w:tcPr>
            <w:tcW w:type="dxa" w:w="2592"/>
            <w:vAlign w:val="center"/>
            <w:shd w:fill="137C7B"/>
          </w:tcPr>
          <w:p>
            <w:r/>
            <w:r>
              <w:rPr>
                <w:rFonts w:ascii="Aptos" w:hAnsi="Aptos"/>
                <w:b/>
                <w:color w:val="FFFFFF"/>
                <w:sz w:val="17"/>
              </w:rPr>
              <w:t>Control Field</w:t>
            </w:r>
          </w:p>
        </w:tc>
        <w:tc>
          <w:tcPr>
            <w:tcW w:type="dxa" w:w="7632"/>
            <w:vAlign w:val="center"/>
            <w:shd w:fill="137C7B"/>
          </w:tcPr>
          <w:p>
            <w:r/>
            <w:r>
              <w:rPr>
                <w:rFonts w:ascii="Aptos" w:hAnsi="Aptos"/>
                <w:b/>
                <w:color w:val="FFFFFF"/>
                <w:sz w:val="17"/>
              </w:rPr>
              <w:t>Value</w:t>
            </w:r>
          </w:p>
        </w:tc>
      </w:tr>
      <w:tr>
        <w:tc>
          <w:tcPr>
            <w:tcW w:type="dxa" w:w="2592"/>
            <w:vAlign w:val="center"/>
            <w:shd w:fill="FFFFFF"/>
          </w:tcPr>
          <w:p>
            <w:r/>
            <w:r>
              <w:rPr>
                <w:rFonts w:ascii="Aptos" w:hAnsi="Aptos"/>
                <w:b w:val="0"/>
                <w:sz w:val="17"/>
              </w:rPr>
              <w:t>Qualification run</w:t>
            </w:r>
          </w:p>
        </w:tc>
        <w:tc>
          <w:tcPr>
            <w:tcW w:type="dxa" w:w="7632"/>
            <w:vAlign w:val="center"/>
            <w:shd w:fill="FFFFFF"/>
          </w:tcPr>
          <w:p>
            <w:r/>
            <w:r>
              <w:rPr>
                <w:rFonts w:ascii="Aptos" w:hAnsi="Aptos"/>
                <w:b w:val="0"/>
                <w:sz w:val="17"/>
              </w:rPr>
              <w:t>PA-Q2</w:t>
            </w:r>
          </w:p>
        </w:tc>
      </w:tr>
      <w:tr>
        <w:tc>
          <w:tcPr>
            <w:tcW w:type="dxa" w:w="2592"/>
            <w:vAlign w:val="center"/>
            <w:shd w:fill="F2F4F6"/>
          </w:tcPr>
          <w:p>
            <w:r/>
            <w:r>
              <w:rPr>
                <w:rFonts w:ascii="Aptos" w:hAnsi="Aptos"/>
                <w:b w:val="0"/>
                <w:sz w:val="17"/>
              </w:rPr>
              <w:t>Verified INN</w:t>
            </w:r>
          </w:p>
        </w:tc>
        <w:tc>
          <w:tcPr>
            <w:tcW w:type="dxa" w:w="7632"/>
            <w:vAlign w:val="center"/>
            <w:shd w:fill="F2F4F6"/>
          </w:tcPr>
          <w:p>
            <w:r/>
            <w:r>
              <w:rPr>
                <w:rFonts w:ascii="Aptos" w:hAnsi="Aptos"/>
                <w:b w:val="0"/>
                <w:sz w:val="17"/>
              </w:rPr>
              <w:t>Empagliflozin</w:t>
            </w:r>
          </w:p>
        </w:tc>
      </w:tr>
      <w:tr>
        <w:tc>
          <w:tcPr>
            <w:tcW w:type="dxa" w:w="2592"/>
            <w:vAlign w:val="center"/>
            <w:shd w:fill="FFFFFF"/>
          </w:tcPr>
          <w:p>
            <w:r/>
            <w:r>
              <w:rPr>
                <w:rFonts w:ascii="Aptos" w:hAnsi="Aptos"/>
                <w:b w:val="0"/>
                <w:sz w:val="17"/>
              </w:rPr>
              <w:t>Intended use</w:t>
            </w:r>
          </w:p>
        </w:tc>
        <w:tc>
          <w:tcPr>
            <w:tcW w:type="dxa" w:w="7632"/>
            <w:vAlign w:val="center"/>
            <w:shd w:fill="FFFFFF"/>
          </w:tcPr>
          <w:p>
            <w:r/>
            <w:r>
              <w:rPr>
                <w:rFonts w:ascii="Aptos" w:hAnsi="Aptos"/>
                <w:b w:val="0"/>
                <w:sz w:val="17"/>
              </w:rPr>
              <w:t>Internal preliminary portfolio and medical-strategy appraisal</w:t>
            </w:r>
          </w:p>
        </w:tc>
      </w:tr>
      <w:tr>
        <w:tc>
          <w:tcPr>
            <w:tcW w:type="dxa" w:w="2592"/>
            <w:vAlign w:val="center"/>
            <w:shd w:fill="F2F4F6"/>
          </w:tcPr>
          <w:p>
            <w:r/>
            <w:r>
              <w:rPr>
                <w:rFonts w:ascii="Aptos" w:hAnsi="Aptos"/>
                <w:b w:val="0"/>
                <w:sz w:val="17"/>
              </w:rPr>
              <w:t>Evidence cut-off</w:t>
            </w:r>
          </w:p>
        </w:tc>
        <w:tc>
          <w:tcPr>
            <w:tcW w:type="dxa" w:w="7632"/>
            <w:vAlign w:val="center"/>
            <w:shd w:fill="F2F4F6"/>
          </w:tcPr>
          <w:p>
            <w:r/>
            <w:r>
              <w:rPr>
                <w:rFonts w:ascii="Aptos" w:hAnsi="Aptos"/>
                <w:b w:val="0"/>
                <w:sz w:val="17"/>
              </w:rPr>
              <w:t>6 June 2026</w:t>
            </w:r>
          </w:p>
        </w:tc>
      </w:tr>
      <w:tr>
        <w:tc>
          <w:tcPr>
            <w:tcW w:type="dxa" w:w="2592"/>
            <w:vAlign w:val="center"/>
            <w:shd w:fill="FFFFFF"/>
          </w:tcPr>
          <w:p>
            <w:r/>
            <w:r>
              <w:rPr>
                <w:rFonts w:ascii="Aptos" w:hAnsi="Aptos"/>
                <w:b w:val="0"/>
                <w:sz w:val="17"/>
              </w:rPr>
              <w:t>Document status</w:t>
            </w:r>
          </w:p>
        </w:tc>
        <w:tc>
          <w:tcPr>
            <w:tcW w:type="dxa" w:w="7632"/>
            <w:vAlign w:val="center"/>
            <w:shd w:fill="FFFFFF"/>
          </w:tcPr>
          <w:p>
            <w:r/>
            <w:r>
              <w:rPr>
                <w:rFonts w:ascii="Aptos" w:hAnsi="Aptos"/>
                <w:b w:val="0"/>
                <w:sz w:val="17"/>
              </w:rPr>
              <w:t>Qualification draft - not approved for external use or final Go/No-Go decision</w:t>
            </w:r>
          </w:p>
        </w:tc>
      </w:tr>
      <w:tr>
        <w:tc>
          <w:tcPr>
            <w:tcW w:type="dxa" w:w="2592"/>
            <w:vAlign w:val="center"/>
            <w:shd w:fill="F2F4F6"/>
          </w:tcPr>
          <w:p>
            <w:r/>
            <w:r>
              <w:rPr>
                <w:rFonts w:ascii="Aptos" w:hAnsi="Aptos"/>
                <w:b w:val="0"/>
                <w:sz w:val="17"/>
              </w:rPr>
              <w:t>Owner</w:t>
            </w:r>
          </w:p>
        </w:tc>
        <w:tc>
          <w:tcPr>
            <w:tcW w:type="dxa" w:w="7632"/>
            <w:vAlign w:val="center"/>
            <w:shd w:fill="F2F4F6"/>
          </w:tcPr>
          <w:p>
            <w:r/>
            <w:r>
              <w:rPr>
                <w:rFonts w:ascii="Aptos" w:hAnsi="Aptos"/>
                <w:b w:val="0"/>
                <w:sz w:val="17"/>
              </w:rPr>
              <w:t>Dr. Bhupesh Dewan, Mumbai, Maharashtra, India</w:t>
            </w:r>
          </w:p>
        </w:tc>
      </w:tr>
    </w:tbl>
    <w:p>
      <w:pPr>
        <w:spacing w:after="40"/>
      </w:pPr>
    </w:p>
    <w:p>
      <w:pPr>
        <w:spacing w:before="400"/>
        <w:jc w:val="center"/>
      </w:pPr>
      <w:r>
        <w:rPr>
          <w:b/>
          <w:color w:val="A34A00"/>
        </w:rPr>
        <w:t>IMPORTANT LIMITATION</w:t>
        <w:br/>
      </w:r>
      <w:r>
        <w:rPr>
          <w:sz w:val="19"/>
        </w:rPr>
        <w:t>This appraisal is an architecture qualification output. Missing regulatory, patent, legal, pricing, market, CMC, API, supply, and company-strategy information is explicitly classified as data gaps and diligence gaps, not inferred.</w:t>
      </w:r>
    </w:p>
    <w:p>
      <w:r>
        <w:br w:type="page"/>
      </w:r>
    </w:p>
    <w:p>
      <w:pPr>
        <w:pStyle w:val="Heading1"/>
        <w:keepNext/>
      </w:pPr>
      <w:r>
        <w:t>1. Executive Decision Summary</w:t>
      </w:r>
    </w:p>
    <w:tbl>
      <w:tblPr>
        <w:tblStyle w:val="TableGrid"/>
        <w:tblW w:type="auto" w:w="0"/>
        <w:jc w:val="center"/>
        <w:tblLayout w:type="fixed"/>
        <w:tblLook w:firstColumn="1" w:firstRow="1" w:lastColumn="0" w:lastRow="0" w:noHBand="0" w:noVBand="1" w:val="04A0"/>
      </w:tblPr>
      <w:tblGrid>
        <w:gridCol w:w="5040"/>
        <w:gridCol w:w="5040"/>
      </w:tblGrid>
      <w:tr>
        <w:tc>
          <w:tcPr>
            <w:tcW w:type="dxa" w:w="2376"/>
            <w:vAlign w:val="center"/>
            <w:shd w:fill="137C7B"/>
          </w:tcPr>
          <w:p>
            <w:r/>
            <w:r>
              <w:rPr>
                <w:rFonts w:ascii="Aptos" w:hAnsi="Aptos"/>
                <w:b/>
                <w:color w:val="FFFFFF"/>
                <w:sz w:val="17"/>
              </w:rPr>
              <w:t>Decision Item</w:t>
            </w:r>
          </w:p>
        </w:tc>
        <w:tc>
          <w:tcPr>
            <w:tcW w:type="dxa" w:w="7848"/>
            <w:vAlign w:val="center"/>
            <w:shd w:fill="137C7B"/>
          </w:tcPr>
          <w:p>
            <w:r/>
            <w:r>
              <w:rPr>
                <w:rFonts w:ascii="Aptos" w:hAnsi="Aptos"/>
                <w:b/>
                <w:color w:val="FFFFFF"/>
                <w:sz w:val="17"/>
              </w:rPr>
              <w:t>Assessment</w:t>
            </w:r>
          </w:p>
        </w:tc>
      </w:tr>
      <w:tr>
        <w:tc>
          <w:tcPr>
            <w:tcW w:type="dxa" w:w="2376"/>
            <w:vAlign w:val="center"/>
            <w:shd w:fill="FFFFFF"/>
          </w:tcPr>
          <w:p>
            <w:r/>
            <w:r>
              <w:rPr>
                <w:rFonts w:ascii="Aptos" w:hAnsi="Aptos"/>
                <w:b w:val="0"/>
                <w:sz w:val="17"/>
              </w:rPr>
              <w:t>Objective</w:t>
            </w:r>
          </w:p>
        </w:tc>
        <w:tc>
          <w:tcPr>
            <w:tcW w:type="dxa" w:w="7848"/>
            <w:vAlign w:val="center"/>
            <w:shd w:fill="FFFFFF"/>
          </w:tcPr>
          <w:p>
            <w:r/>
            <w:r>
              <w:rPr>
                <w:rFonts w:ascii="Aptos" w:hAnsi="Aptos"/>
                <w:b w:val="0"/>
                <w:sz w:val="17"/>
              </w:rPr>
              <w:t>Assess the strategic and medical value of empagliflozin across type 2 diabetes, heart failure, and chronic kidney disease while identifying portfolio-entry diligence needs.</w:t>
            </w:r>
          </w:p>
        </w:tc>
      </w:tr>
      <w:tr>
        <w:tc>
          <w:tcPr>
            <w:tcW w:type="dxa" w:w="2376"/>
            <w:vAlign w:val="center"/>
            <w:shd w:fill="F2F4F6"/>
          </w:tcPr>
          <w:p>
            <w:r/>
            <w:r>
              <w:rPr>
                <w:rFonts w:ascii="Aptos" w:hAnsi="Aptos"/>
                <w:b w:val="0"/>
                <w:sz w:val="17"/>
              </w:rPr>
              <w:t>Preliminary status</w:t>
            </w:r>
          </w:p>
        </w:tc>
        <w:tc>
          <w:tcPr>
            <w:tcW w:type="dxa" w:w="7848"/>
            <w:vAlign w:val="center"/>
            <w:shd w:fill="F2F4F6"/>
          </w:tcPr>
          <w:p>
            <w:r/>
            <w:r>
              <w:rPr>
                <w:rFonts w:ascii="Aptos" w:hAnsi="Aptos"/>
                <w:b w:val="0"/>
                <w:sz w:val="17"/>
              </w:rPr>
              <w:t>Strong candidate - pursue differentiated portfolio diligence</w:t>
            </w:r>
          </w:p>
        </w:tc>
      </w:tr>
      <w:tr>
        <w:tc>
          <w:tcPr>
            <w:tcW w:type="dxa" w:w="2376"/>
            <w:vAlign w:val="center"/>
            <w:shd w:fill="FFFFFF"/>
          </w:tcPr>
          <w:p>
            <w:r/>
            <w:r>
              <w:rPr>
                <w:rFonts w:ascii="Aptos" w:hAnsi="Aptos"/>
                <w:b w:val="0"/>
                <w:sz w:val="17"/>
              </w:rPr>
              <w:t>Recommendation</w:t>
            </w:r>
          </w:p>
        </w:tc>
        <w:tc>
          <w:tcPr>
            <w:tcW w:type="dxa" w:w="7848"/>
            <w:vAlign w:val="center"/>
            <w:shd w:fill="FFFFFF"/>
          </w:tcPr>
          <w:p>
            <w:r/>
            <w:r>
              <w:rPr>
                <w:rFonts w:ascii="Aptos" w:hAnsi="Aptos"/>
                <w:b w:val="0"/>
                <w:sz w:val="17"/>
              </w:rPr>
              <w:t>Proceed to detailed commercial, patent/FTO, India-label, pricing, supply, and portfolio-fit diligence. The scientific value proposition is strong and supported by mature cardiovascular, heart-failure, and kidney evidence, but market crowding and class safety controls are material.</w:t>
            </w:r>
          </w:p>
        </w:tc>
      </w:tr>
      <w:tr>
        <w:tc>
          <w:tcPr>
            <w:tcW w:type="dxa" w:w="2376"/>
            <w:vAlign w:val="center"/>
            <w:shd w:fill="F2F4F6"/>
          </w:tcPr>
          <w:p>
            <w:r/>
            <w:r>
              <w:rPr>
                <w:rFonts w:ascii="Aptos" w:hAnsi="Aptos"/>
                <w:b w:val="0"/>
                <w:sz w:val="17"/>
              </w:rPr>
              <w:t>Identity/control note</w:t>
            </w:r>
          </w:p>
        </w:tc>
        <w:tc>
          <w:tcPr>
            <w:tcW w:type="dxa" w:w="7848"/>
            <w:vAlign w:val="center"/>
            <w:shd w:fill="F2F4F6"/>
          </w:tcPr>
          <w:p>
            <w:r/>
            <w:r>
              <w:rPr>
                <w:rFonts w:ascii="Aptos" w:hAnsi="Aptos"/>
                <w:b w:val="0"/>
                <w:sz w:val="17"/>
              </w:rPr>
              <w:t>The INN empagliflozin was verified. Exact India label, local brands, prices, patent/FTO, and market position require separate authoritative verification.</w:t>
            </w:r>
          </w:p>
        </w:tc>
      </w:tr>
    </w:tbl>
    <w:p>
      <w:pPr>
        <w:spacing w:after="40"/>
      </w:pPr>
    </w:p>
    <w:p>
      <w:pPr>
        <w:pStyle w:val="Heading1"/>
        <w:keepNext/>
      </w:pPr>
      <w:r>
        <w:t>2. Product Identification and Assessment Scope</w:t>
      </w:r>
    </w:p>
    <w:tbl>
      <w:tblPr>
        <w:tblStyle w:val="TableGrid"/>
        <w:tblW w:type="auto" w:w="0"/>
        <w:jc w:val="center"/>
        <w:tblLayout w:type="fixed"/>
        <w:tblLook w:firstColumn="1" w:firstRow="1" w:lastColumn="0" w:lastRow="0" w:noHBand="0" w:noVBand="1" w:val="04A0"/>
      </w:tblPr>
      <w:tblGrid>
        <w:gridCol w:w="5040"/>
        <w:gridCol w:w="5040"/>
      </w:tblGrid>
      <w:tr>
        <w:tc>
          <w:tcPr>
            <w:tcW w:type="dxa" w:w="2592"/>
            <w:vAlign w:val="center"/>
            <w:shd w:fill="18324A"/>
          </w:tcPr>
          <w:p>
            <w:r/>
            <w:r>
              <w:rPr>
                <w:rFonts w:ascii="Aptos" w:hAnsi="Aptos"/>
                <w:b/>
                <w:color w:val="FFFFFF"/>
                <w:sz w:val="17"/>
              </w:rPr>
              <w:t>Field</w:t>
            </w:r>
          </w:p>
        </w:tc>
        <w:tc>
          <w:tcPr>
            <w:tcW w:type="dxa" w:w="7632"/>
            <w:vAlign w:val="center"/>
            <w:shd w:fill="18324A"/>
          </w:tcPr>
          <w:p>
            <w:r/>
            <w:r>
              <w:rPr>
                <w:rFonts w:ascii="Aptos" w:hAnsi="Aptos"/>
                <w:b/>
                <w:color w:val="FFFFFF"/>
                <w:sz w:val="17"/>
              </w:rPr>
              <w:t>Verified or Qualified Finding</w:t>
            </w:r>
          </w:p>
        </w:tc>
      </w:tr>
      <w:tr>
        <w:tc>
          <w:tcPr>
            <w:tcW w:type="dxa" w:w="2592"/>
            <w:vAlign w:val="center"/>
            <w:shd w:fill="FFFFFF"/>
          </w:tcPr>
          <w:p>
            <w:r/>
            <w:r>
              <w:rPr>
                <w:rFonts w:ascii="Aptos" w:hAnsi="Aptos"/>
                <w:b w:val="0"/>
                <w:sz w:val="17"/>
              </w:rPr>
              <w:t>Verified INN</w:t>
            </w:r>
          </w:p>
        </w:tc>
        <w:tc>
          <w:tcPr>
            <w:tcW w:type="dxa" w:w="7632"/>
            <w:vAlign w:val="center"/>
            <w:shd w:fill="FFFFFF"/>
          </w:tcPr>
          <w:p>
            <w:r/>
            <w:r>
              <w:rPr>
                <w:rFonts w:ascii="Aptos" w:hAnsi="Aptos"/>
                <w:b w:val="0"/>
                <w:sz w:val="17"/>
              </w:rPr>
              <w:t>Empagliflozin</w:t>
            </w:r>
          </w:p>
        </w:tc>
      </w:tr>
      <w:tr>
        <w:tc>
          <w:tcPr>
            <w:tcW w:type="dxa" w:w="2592"/>
            <w:vAlign w:val="center"/>
            <w:shd w:fill="F2F4F6"/>
          </w:tcPr>
          <w:p>
            <w:r/>
            <w:r>
              <w:rPr>
                <w:rFonts w:ascii="Aptos" w:hAnsi="Aptos"/>
                <w:b w:val="0"/>
                <w:sz w:val="17"/>
              </w:rPr>
              <w:t>Class</w:t>
            </w:r>
          </w:p>
        </w:tc>
        <w:tc>
          <w:tcPr>
            <w:tcW w:type="dxa" w:w="7632"/>
            <w:vAlign w:val="center"/>
            <w:shd w:fill="F2F4F6"/>
          </w:tcPr>
          <w:p>
            <w:r/>
            <w:r>
              <w:rPr>
                <w:rFonts w:ascii="Aptos" w:hAnsi="Aptos"/>
                <w:b w:val="0"/>
                <w:sz w:val="17"/>
              </w:rPr>
              <w:t>Oral sodium-glucose co-transporter 2 (SGLT2) inhibitor</w:t>
            </w:r>
          </w:p>
        </w:tc>
      </w:tr>
      <w:tr>
        <w:tc>
          <w:tcPr>
            <w:tcW w:type="dxa" w:w="2592"/>
            <w:vAlign w:val="center"/>
            <w:shd w:fill="FFFFFF"/>
          </w:tcPr>
          <w:p>
            <w:r/>
            <w:r>
              <w:rPr>
                <w:rFonts w:ascii="Aptos" w:hAnsi="Aptos"/>
                <w:b w:val="0"/>
                <w:sz w:val="17"/>
              </w:rPr>
              <w:t>Core differentiation</w:t>
            </w:r>
          </w:p>
        </w:tc>
        <w:tc>
          <w:tcPr>
            <w:tcW w:type="dxa" w:w="7632"/>
            <w:vAlign w:val="center"/>
            <w:shd w:fill="FFFFFF"/>
          </w:tcPr>
          <w:p>
            <w:r/>
            <w:r>
              <w:rPr>
                <w:rFonts w:ascii="Aptos" w:hAnsi="Aptos"/>
                <w:b w:val="0"/>
                <w:sz w:val="17"/>
              </w:rPr>
              <w:t>Established glycemic, cardiovascular, heart-failure, and kidney evidence</w:t>
            </w:r>
          </w:p>
        </w:tc>
      </w:tr>
      <w:tr>
        <w:tc>
          <w:tcPr>
            <w:tcW w:type="dxa" w:w="2592"/>
            <w:vAlign w:val="center"/>
            <w:shd w:fill="F2F4F6"/>
          </w:tcPr>
          <w:p>
            <w:r/>
            <w:r>
              <w:rPr>
                <w:rFonts w:ascii="Aptos" w:hAnsi="Aptos"/>
                <w:b w:val="0"/>
                <w:sz w:val="17"/>
              </w:rPr>
              <w:t>Verified U.S. label context</w:t>
            </w:r>
          </w:p>
        </w:tc>
        <w:tc>
          <w:tcPr>
            <w:tcW w:type="dxa" w:w="7632"/>
            <w:vAlign w:val="center"/>
            <w:shd w:fill="F2F4F6"/>
          </w:tcPr>
          <w:p>
            <w:r/>
            <w:r>
              <w:rPr>
                <w:rFonts w:ascii="Aptos" w:hAnsi="Aptos"/>
                <w:b w:val="0"/>
                <w:sz w:val="17"/>
              </w:rPr>
              <w:t>FDA label includes heart failure, chronic kidney disease, cardiovascular-risk reduction in adults with type 2 diabetes and established cardiovascular disease, and glycemic control in adults and pediatric patients aged 10 years and older</w:t>
            </w:r>
          </w:p>
        </w:tc>
      </w:tr>
      <w:tr>
        <w:tc>
          <w:tcPr>
            <w:tcW w:type="dxa" w:w="2592"/>
            <w:vAlign w:val="center"/>
            <w:shd w:fill="FFFFFF"/>
          </w:tcPr>
          <w:p>
            <w:r/>
            <w:r>
              <w:rPr>
                <w:rFonts w:ascii="Aptos" w:hAnsi="Aptos"/>
                <w:b w:val="0"/>
                <w:sz w:val="17"/>
              </w:rPr>
              <w:t>Verified EU context</w:t>
            </w:r>
          </w:p>
        </w:tc>
        <w:tc>
          <w:tcPr>
            <w:tcW w:type="dxa" w:w="7632"/>
            <w:vAlign w:val="center"/>
            <w:shd w:fill="FFFFFF"/>
          </w:tcPr>
          <w:p>
            <w:r/>
            <w:r>
              <w:rPr>
                <w:rFonts w:ascii="Aptos" w:hAnsi="Aptos"/>
                <w:b w:val="0"/>
                <w:sz w:val="17"/>
              </w:rPr>
              <w:t>EMA describes use in type 2 diabetes, symptomatic chronic heart failure, and chronic kidney disease</w:t>
            </w:r>
          </w:p>
        </w:tc>
      </w:tr>
      <w:tr>
        <w:tc>
          <w:tcPr>
            <w:tcW w:type="dxa" w:w="2592"/>
            <w:vAlign w:val="center"/>
            <w:shd w:fill="F2F4F6"/>
          </w:tcPr>
          <w:p>
            <w:r/>
            <w:r>
              <w:rPr>
                <w:rFonts w:ascii="Aptos" w:hAnsi="Aptos"/>
                <w:b w:val="0"/>
                <w:sz w:val="17"/>
              </w:rPr>
              <w:t>Assessment geography</w:t>
            </w:r>
          </w:p>
        </w:tc>
        <w:tc>
          <w:tcPr>
            <w:tcW w:type="dxa" w:w="7632"/>
            <w:vAlign w:val="center"/>
            <w:shd w:fill="F2F4F6"/>
          </w:tcPr>
          <w:p>
            <w:r/>
            <w:r>
              <w:rPr>
                <w:rFonts w:ascii="Aptos" w:hAnsi="Aptos"/>
                <w:b w:val="0"/>
                <w:sz w:val="17"/>
              </w:rPr>
              <w:t>India</w:t>
            </w:r>
          </w:p>
        </w:tc>
      </w:tr>
    </w:tbl>
    <w:p>
      <w:pPr>
        <w:spacing w:after="40"/>
      </w:pPr>
    </w:p>
    <w:p>
      <w:pPr>
        <w:pStyle w:val="Heading1"/>
        <w:keepNext/>
      </w:pPr>
      <w:r>
        <w:t>3. Scientific and Strategic Synopsis</w:t>
      </w:r>
    </w:p>
    <w:p>
      <w:r>
        <w:rPr>
          <w:b/>
        </w:rPr>
        <w:t xml:space="preserve">Appraisal interpretation. </w:t>
      </w:r>
      <w:r>
        <w:t>Empagliflozin has a mature, high-quality evidence platform across diabetes, cardiovascular risk, heart failure, and chronic kidney disease. The principal strategic question is not whether the molecule has clinical value, but whether the company can create a differentiated, compliant, affordable, and operationally credible portfolio proposition in a crowded market.</w:t>
      </w:r>
    </w:p>
    <w:p>
      <w:pPr>
        <w:pStyle w:val="Heading1"/>
        <w:keepNext/>
      </w:pPr>
      <w:r>
        <w:t>4. SWOT Assessment</w:t>
      </w:r>
    </w:p>
    <w:tbl>
      <w:tblPr>
        <w:tblStyle w:val="TableGrid"/>
        <w:tblW w:type="auto" w:w="0"/>
        <w:jc w:val="center"/>
        <w:tblLayout w:type="fixed"/>
        <w:tblLook w:firstColumn="1" w:firstRow="1" w:lastColumn="0" w:lastRow="0" w:noHBand="0" w:noVBand="1" w:val="04A0"/>
      </w:tblPr>
      <w:tblGrid>
        <w:gridCol w:w="5040"/>
        <w:gridCol w:w="5040"/>
      </w:tblGrid>
      <w:tr>
        <w:tc>
          <w:tcPr>
            <w:tcW w:type="dxa" w:w="5112"/>
            <w:vAlign w:val="center"/>
            <w:shd w:fill="137C7B"/>
          </w:tcPr>
          <w:p>
            <w:r/>
            <w:r>
              <w:rPr>
                <w:rFonts w:ascii="Aptos" w:hAnsi="Aptos"/>
                <w:b/>
                <w:color w:val="FFFFFF"/>
                <w:sz w:val="17"/>
              </w:rPr>
              <w:t>Strengths</w:t>
            </w:r>
          </w:p>
        </w:tc>
        <w:tc>
          <w:tcPr>
            <w:tcW w:type="dxa" w:w="5112"/>
            <w:vAlign w:val="center"/>
            <w:shd w:fill="137C7B"/>
          </w:tcPr>
          <w:p>
            <w:r/>
            <w:r>
              <w:rPr>
                <w:rFonts w:ascii="Aptos" w:hAnsi="Aptos"/>
                <w:b/>
                <w:color w:val="FFFFFF"/>
                <w:sz w:val="17"/>
              </w:rPr>
              <w:t>Weaknesses</w:t>
            </w:r>
          </w:p>
        </w:tc>
      </w:tr>
      <w:tr>
        <w:tc>
          <w:tcPr>
            <w:tcW w:type="dxa" w:w="5112"/>
            <w:vAlign w:val="center"/>
            <w:shd w:fill="FFFFFF"/>
          </w:tcPr>
          <w:p>
            <w:r/>
            <w:r>
              <w:rPr>
                <w:rFonts w:ascii="Aptos" w:hAnsi="Aptos"/>
                <w:b w:val="0"/>
                <w:sz w:val="17"/>
              </w:rPr>
              <w:t>Mature evidence base across type 2 diabetes, cardiovascular outcomes, heart failure, and chronic kidney disease.</w:t>
              <w:br/>
              <w:t>Current FDA and EMA sources provide clear regulatory and safety context.</w:t>
              <w:br/>
              <w:t>Once-daily oral dosing with a clinically coherent cardiorenal value proposition.</w:t>
              <w:br/>
              <w:t>Major outcomes programs provide strong HCP and guideline relevance.</w:t>
            </w:r>
          </w:p>
        </w:tc>
        <w:tc>
          <w:tcPr>
            <w:tcW w:type="dxa" w:w="5112"/>
            <w:vAlign w:val="center"/>
            <w:shd w:fill="FFFFFF"/>
          </w:tcPr>
          <w:p>
            <w:r/>
            <w:r>
              <w:rPr>
                <w:rFonts w:ascii="Aptos" w:hAnsi="Aptos"/>
                <w:b w:val="0"/>
                <w:sz w:val="17"/>
              </w:rPr>
              <w:t>Crowded SGLT2 market with established competitors and potential price pressure.</w:t>
              <w:br/>
              <w:t>Class safety and monitoring requirements include ketoacidosis, volume depletion, genitourinary infections, and other label warnings.</w:t>
              <w:br/>
              <w:t>Exact India label, price, patent/FTO, market share, API economics, and supply readiness were not verified in this run.</w:t>
              <w:br/>
              <w:t>Differentiation may depend more on execution, evidence communication, access, and portfolio fit than molecule novelty.</w:t>
            </w:r>
          </w:p>
        </w:tc>
      </w:tr>
    </w:tbl>
    <w:p>
      <w:pPr>
        <w:spacing w:after="40"/>
      </w:pPr>
    </w:p>
    <w:tbl>
      <w:tblPr>
        <w:tblStyle w:val="TableGrid"/>
        <w:tblW w:type="auto" w:w="0"/>
        <w:jc w:val="center"/>
        <w:tblLayout w:type="fixed"/>
        <w:tblLook w:firstColumn="1" w:firstRow="1" w:lastColumn="0" w:lastRow="0" w:noHBand="0" w:noVBand="1" w:val="04A0"/>
      </w:tblPr>
      <w:tblGrid>
        <w:gridCol w:w="5040"/>
        <w:gridCol w:w="5040"/>
      </w:tblGrid>
      <w:tr>
        <w:tc>
          <w:tcPr>
            <w:tcW w:type="dxa" w:w="5112"/>
            <w:vAlign w:val="center"/>
            <w:shd w:fill="137C7B"/>
          </w:tcPr>
          <w:p>
            <w:r/>
            <w:r>
              <w:rPr>
                <w:rFonts w:ascii="Aptos" w:hAnsi="Aptos"/>
                <w:b/>
                <w:color w:val="FFFFFF"/>
                <w:sz w:val="17"/>
              </w:rPr>
              <w:t>Opportunities</w:t>
            </w:r>
          </w:p>
        </w:tc>
        <w:tc>
          <w:tcPr>
            <w:tcW w:type="dxa" w:w="5112"/>
            <w:vAlign w:val="center"/>
            <w:shd w:fill="137C7B"/>
          </w:tcPr>
          <w:p>
            <w:r/>
            <w:r>
              <w:rPr>
                <w:rFonts w:ascii="Aptos" w:hAnsi="Aptos"/>
                <w:b/>
                <w:color w:val="FFFFFF"/>
                <w:sz w:val="17"/>
              </w:rPr>
              <w:t>Threats</w:t>
            </w:r>
          </w:p>
        </w:tc>
      </w:tr>
      <w:tr>
        <w:tc>
          <w:tcPr>
            <w:tcW w:type="dxa" w:w="5112"/>
            <w:vAlign w:val="center"/>
            <w:shd w:fill="FFFFFF"/>
          </w:tcPr>
          <w:p>
            <w:r/>
            <w:r>
              <w:rPr>
                <w:rFonts w:ascii="Aptos" w:hAnsi="Aptos"/>
                <w:b w:val="0"/>
                <w:sz w:val="17"/>
              </w:rPr>
              <w:t>Integrated diabetes, cardiovascular, heart-failure, and kidney medical strategy.</w:t>
              <w:br/>
              <w:t>Strong evidence platform for HCP education and multidisciplinary engagement.</w:t>
              <w:br/>
              <w:t>Potential fit for a broad cardiometabolic and renal portfolio.</w:t>
              <w:br/>
              <w:t>Mature evidence can support medical-information, monograph, training, and scientific-content programs.</w:t>
            </w:r>
          </w:p>
        </w:tc>
        <w:tc>
          <w:tcPr>
            <w:tcW w:type="dxa" w:w="5112"/>
            <w:vAlign w:val="center"/>
            <w:shd w:fill="FFFFFF"/>
          </w:tcPr>
          <w:p>
            <w:r/>
            <w:r>
              <w:rPr>
                <w:rFonts w:ascii="Aptos" w:hAnsi="Aptos"/>
                <w:b w:val="0"/>
                <w:sz w:val="17"/>
              </w:rPr>
              <w:t>Strong branded and generic class competition.</w:t>
              <w:br/>
              <w:t>Safety events or inappropriate patient selection can undermine benefit-risk communication.</w:t>
              <w:br/>
              <w:t>Local reimbursement, pricing, and affordability may constrain adoption.</w:t>
              <w:br/>
              <w:t>Commoditization risk if product strategy lacks a differentiated service and evidence plan.</w:t>
            </w:r>
          </w:p>
        </w:tc>
      </w:tr>
    </w:tbl>
    <w:p>
      <w:pPr>
        <w:spacing w:after="40"/>
      </w:pPr>
    </w:p>
    <w:p>
      <w:pPr>
        <w:pStyle w:val="Heading1"/>
        <w:keepNext/>
      </w:pPr>
      <w:r>
        <w:t>5. Evidence Landscape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2016"/>
            <w:vAlign w:val="center"/>
            <w:shd w:fill="18324A"/>
          </w:tcPr>
          <w:p>
            <w:r/>
            <w:r>
              <w:rPr>
                <w:rFonts w:ascii="Aptos" w:hAnsi="Aptos"/>
                <w:b/>
                <w:color w:val="FFFFFF"/>
                <w:sz w:val="17"/>
              </w:rPr>
              <w:t>Evidence</w:t>
            </w:r>
          </w:p>
        </w:tc>
        <w:tc>
          <w:tcPr>
            <w:tcW w:type="dxa" w:w="4608"/>
            <w:vAlign w:val="center"/>
            <w:shd w:fill="18324A"/>
          </w:tcPr>
          <w:p>
            <w:r/>
            <w:r>
              <w:rPr>
                <w:rFonts w:ascii="Aptos" w:hAnsi="Aptos"/>
                <w:b/>
                <w:color w:val="FFFFFF"/>
                <w:sz w:val="17"/>
              </w:rPr>
              <w:t>Relevance</w:t>
            </w:r>
          </w:p>
        </w:tc>
        <w:tc>
          <w:tcPr>
            <w:tcW w:type="dxa" w:w="2376"/>
            <w:vAlign w:val="center"/>
            <w:shd w:fill="18324A"/>
          </w:tcPr>
          <w:p>
            <w:r/>
            <w:r>
              <w:rPr>
                <w:rFonts w:ascii="Aptos" w:hAnsi="Aptos"/>
                <w:b/>
                <w:color w:val="FFFFFF"/>
                <w:sz w:val="17"/>
              </w:rPr>
              <w:t>Source class</w:t>
            </w:r>
          </w:p>
        </w:tc>
        <w:tc>
          <w:tcPr>
            <w:tcW w:type="dxa" w:w="1224"/>
            <w:vAlign w:val="center"/>
            <w:shd w:fill="18324A"/>
          </w:tcPr>
          <w:p>
            <w:r/>
            <w:r>
              <w:rPr>
                <w:rFonts w:ascii="Aptos" w:hAnsi="Aptos"/>
                <w:b/>
                <w:color w:val="FFFFFF"/>
                <w:sz w:val="17"/>
              </w:rPr>
              <w:t>Confidence</w:t>
            </w:r>
          </w:p>
        </w:tc>
      </w:tr>
      <w:tr>
        <w:tc>
          <w:tcPr>
            <w:tcW w:type="dxa" w:w="2016"/>
            <w:vAlign w:val="center"/>
            <w:shd w:fill="FFFFFF"/>
          </w:tcPr>
          <w:p>
            <w:r/>
            <w:r>
              <w:rPr>
                <w:rFonts w:ascii="Aptos" w:hAnsi="Aptos"/>
                <w:b w:val="0"/>
                <w:sz w:val="17"/>
              </w:rPr>
              <w:t>FDA prescribing information, revised October 2025</w:t>
            </w:r>
          </w:p>
        </w:tc>
        <w:tc>
          <w:tcPr>
            <w:tcW w:type="dxa" w:w="4608"/>
            <w:vAlign w:val="center"/>
            <w:shd w:fill="FFFFFF"/>
          </w:tcPr>
          <w:p>
            <w:r/>
            <w:r>
              <w:rPr>
                <w:rFonts w:ascii="Aptos" w:hAnsi="Aptos"/>
                <w:b w:val="0"/>
                <w:sz w:val="17"/>
              </w:rPr>
              <w:t>Current U.S. indications, dose, limitations, warnings, and adverse reactions.</w:t>
            </w:r>
          </w:p>
        </w:tc>
        <w:tc>
          <w:tcPr>
            <w:tcW w:type="dxa" w:w="2376"/>
            <w:vAlign w:val="center"/>
            <w:shd w:fill="FFFFFF"/>
          </w:tcPr>
          <w:p>
            <w:r/>
            <w:r>
              <w:rPr>
                <w:rFonts w:ascii="Aptos" w:hAnsi="Aptos"/>
                <w:b w:val="0"/>
                <w:sz w:val="17"/>
              </w:rPr>
              <w:t>Authoritative regulatory label</w:t>
            </w:r>
          </w:p>
        </w:tc>
        <w:tc>
          <w:tcPr>
            <w:tcW w:type="dxa" w:w="1224"/>
            <w:vAlign w:val="center"/>
            <w:shd w:fill="FFFFFF"/>
          </w:tcPr>
          <w:p>
            <w:r/>
            <w:r>
              <w:rPr>
                <w:rFonts w:ascii="Aptos" w:hAnsi="Aptos"/>
                <w:b w:val="0"/>
                <w:sz w:val="17"/>
              </w:rPr>
              <w:t>High</w:t>
            </w:r>
          </w:p>
        </w:tc>
      </w:tr>
      <w:tr>
        <w:tc>
          <w:tcPr>
            <w:tcW w:type="dxa" w:w="2016"/>
            <w:vAlign w:val="center"/>
            <w:shd w:fill="F2F4F6"/>
          </w:tcPr>
          <w:p>
            <w:r/>
            <w:r>
              <w:rPr>
                <w:rFonts w:ascii="Aptos" w:hAnsi="Aptos"/>
                <w:b w:val="0"/>
                <w:sz w:val="17"/>
              </w:rPr>
              <w:t>EMA Jardiance EPAR</w:t>
            </w:r>
          </w:p>
        </w:tc>
        <w:tc>
          <w:tcPr>
            <w:tcW w:type="dxa" w:w="4608"/>
            <w:vAlign w:val="center"/>
            <w:shd w:fill="F2F4F6"/>
          </w:tcPr>
          <w:p>
            <w:r/>
            <w:r>
              <w:rPr>
                <w:rFonts w:ascii="Aptos" w:hAnsi="Aptos"/>
                <w:b w:val="0"/>
                <w:sz w:val="17"/>
              </w:rPr>
              <w:t>EU authorization context and evidence summary for type 2 diabetes, heart failure, and chronic kidney disease.</w:t>
            </w:r>
          </w:p>
        </w:tc>
        <w:tc>
          <w:tcPr>
            <w:tcW w:type="dxa" w:w="2376"/>
            <w:vAlign w:val="center"/>
            <w:shd w:fill="F2F4F6"/>
          </w:tcPr>
          <w:p>
            <w:r/>
            <w:r>
              <w:rPr>
                <w:rFonts w:ascii="Aptos" w:hAnsi="Aptos"/>
                <w:b w:val="0"/>
                <w:sz w:val="17"/>
              </w:rPr>
              <w:t>Authoritative regulatory assessment</w:t>
            </w:r>
          </w:p>
        </w:tc>
        <w:tc>
          <w:tcPr>
            <w:tcW w:type="dxa" w:w="1224"/>
            <w:vAlign w:val="center"/>
            <w:shd w:fill="F2F4F6"/>
          </w:tcPr>
          <w:p>
            <w:r/>
            <w:r>
              <w:rPr>
                <w:rFonts w:ascii="Aptos" w:hAnsi="Aptos"/>
                <w:b w:val="0"/>
                <w:sz w:val="17"/>
              </w:rPr>
              <w:t>High</w:t>
            </w:r>
          </w:p>
        </w:tc>
      </w:tr>
      <w:tr>
        <w:tc>
          <w:tcPr>
            <w:tcW w:type="dxa" w:w="2016"/>
            <w:vAlign w:val="center"/>
            <w:shd w:fill="FFFFFF"/>
          </w:tcPr>
          <w:p>
            <w:r/>
            <w:r>
              <w:rPr>
                <w:rFonts w:ascii="Aptos" w:hAnsi="Aptos"/>
                <w:b w:val="0"/>
                <w:sz w:val="17"/>
              </w:rPr>
              <w:t>EMPA-REG OUTCOME</w:t>
            </w:r>
          </w:p>
        </w:tc>
        <w:tc>
          <w:tcPr>
            <w:tcW w:type="dxa" w:w="4608"/>
            <w:vAlign w:val="center"/>
            <w:shd w:fill="FFFFFF"/>
          </w:tcPr>
          <w:p>
            <w:r/>
            <w:r>
              <w:rPr>
                <w:rFonts w:ascii="Aptos" w:hAnsi="Aptos"/>
                <w:b w:val="0"/>
                <w:sz w:val="17"/>
              </w:rPr>
              <w:t>Cardiovascular outcomes and mortality in type 2 diabetes with established cardiovascular disease.</w:t>
            </w:r>
          </w:p>
        </w:tc>
        <w:tc>
          <w:tcPr>
            <w:tcW w:type="dxa" w:w="2376"/>
            <w:vAlign w:val="center"/>
            <w:shd w:fill="FFFFFF"/>
          </w:tcPr>
          <w:p>
            <w:r/>
            <w:r>
              <w:rPr>
                <w:rFonts w:ascii="Aptos" w:hAnsi="Aptos"/>
                <w:b w:val="0"/>
                <w:sz w:val="17"/>
              </w:rPr>
              <w:t>Peer-reviewed pivotal outcomes study</w:t>
            </w:r>
          </w:p>
        </w:tc>
        <w:tc>
          <w:tcPr>
            <w:tcW w:type="dxa" w:w="1224"/>
            <w:vAlign w:val="center"/>
            <w:shd w:fill="FFFFFF"/>
          </w:tcPr>
          <w:p>
            <w:r/>
            <w:r>
              <w:rPr>
                <w:rFonts w:ascii="Aptos" w:hAnsi="Aptos"/>
                <w:b w:val="0"/>
                <w:sz w:val="17"/>
              </w:rPr>
              <w:t>High</w:t>
            </w:r>
          </w:p>
        </w:tc>
      </w:tr>
      <w:tr>
        <w:tc>
          <w:tcPr>
            <w:tcW w:type="dxa" w:w="2016"/>
            <w:vAlign w:val="center"/>
            <w:shd w:fill="F2F4F6"/>
          </w:tcPr>
          <w:p>
            <w:r/>
            <w:r>
              <w:rPr>
                <w:rFonts w:ascii="Aptos" w:hAnsi="Aptos"/>
                <w:b w:val="0"/>
                <w:sz w:val="17"/>
              </w:rPr>
              <w:t>EMPEROR program</w:t>
            </w:r>
          </w:p>
        </w:tc>
        <w:tc>
          <w:tcPr>
            <w:tcW w:type="dxa" w:w="4608"/>
            <w:vAlign w:val="center"/>
            <w:shd w:fill="F2F4F6"/>
          </w:tcPr>
          <w:p>
            <w:r/>
            <w:r>
              <w:rPr>
                <w:rFonts w:ascii="Aptos" w:hAnsi="Aptos"/>
                <w:b w:val="0"/>
                <w:sz w:val="17"/>
              </w:rPr>
              <w:t>Heart-failure outcome evidence across reduced and preserved ejection fraction populations.</w:t>
            </w:r>
          </w:p>
        </w:tc>
        <w:tc>
          <w:tcPr>
            <w:tcW w:type="dxa" w:w="2376"/>
            <w:vAlign w:val="center"/>
            <w:shd w:fill="F2F4F6"/>
          </w:tcPr>
          <w:p>
            <w:r/>
            <w:r>
              <w:rPr>
                <w:rFonts w:ascii="Aptos" w:hAnsi="Aptos"/>
                <w:b w:val="0"/>
                <w:sz w:val="17"/>
              </w:rPr>
              <w:t>Peer-reviewed pivotal outcomes studies</w:t>
            </w:r>
          </w:p>
        </w:tc>
        <w:tc>
          <w:tcPr>
            <w:tcW w:type="dxa" w:w="1224"/>
            <w:vAlign w:val="center"/>
            <w:shd w:fill="F2F4F6"/>
          </w:tcPr>
          <w:p>
            <w:r/>
            <w:r>
              <w:rPr>
                <w:rFonts w:ascii="Aptos" w:hAnsi="Aptos"/>
                <w:b w:val="0"/>
                <w:sz w:val="17"/>
              </w:rPr>
              <w:t>High</w:t>
            </w:r>
          </w:p>
        </w:tc>
      </w:tr>
      <w:tr>
        <w:tc>
          <w:tcPr>
            <w:tcW w:type="dxa" w:w="2016"/>
            <w:vAlign w:val="center"/>
            <w:shd w:fill="FFFFFF"/>
          </w:tcPr>
          <w:p>
            <w:r/>
            <w:r>
              <w:rPr>
                <w:rFonts w:ascii="Aptos" w:hAnsi="Aptos"/>
                <w:b w:val="0"/>
                <w:sz w:val="17"/>
              </w:rPr>
              <w:t>EMPA-KIDNEY</w:t>
            </w:r>
          </w:p>
        </w:tc>
        <w:tc>
          <w:tcPr>
            <w:tcW w:type="dxa" w:w="4608"/>
            <w:vAlign w:val="center"/>
            <w:shd w:fill="FFFFFF"/>
          </w:tcPr>
          <w:p>
            <w:r/>
            <w:r>
              <w:rPr>
                <w:rFonts w:ascii="Aptos" w:hAnsi="Aptos"/>
                <w:b w:val="0"/>
                <w:sz w:val="17"/>
              </w:rPr>
              <w:t>Kidney-disease progression and cardiorenal outcome evidence in a broad CKD population.</w:t>
            </w:r>
          </w:p>
        </w:tc>
        <w:tc>
          <w:tcPr>
            <w:tcW w:type="dxa" w:w="2376"/>
            <w:vAlign w:val="center"/>
            <w:shd w:fill="FFFFFF"/>
          </w:tcPr>
          <w:p>
            <w:r/>
            <w:r>
              <w:rPr>
                <w:rFonts w:ascii="Aptos" w:hAnsi="Aptos"/>
                <w:b w:val="0"/>
                <w:sz w:val="17"/>
              </w:rPr>
              <w:t>Peer-reviewed pivotal outcomes study</w:t>
            </w:r>
          </w:p>
        </w:tc>
        <w:tc>
          <w:tcPr>
            <w:tcW w:type="dxa" w:w="1224"/>
            <w:vAlign w:val="center"/>
            <w:shd w:fill="FFFFFF"/>
          </w:tcPr>
          <w:p>
            <w:r/>
            <w:r>
              <w:rPr>
                <w:rFonts w:ascii="Aptos" w:hAnsi="Aptos"/>
                <w:b w:val="0"/>
                <w:sz w:val="17"/>
              </w:rPr>
              <w:t>High</w:t>
            </w:r>
          </w:p>
        </w:tc>
      </w:tr>
    </w:tbl>
    <w:p>
      <w:pPr>
        <w:spacing w:after="40"/>
      </w:pPr>
    </w:p>
    <w:p>
      <w:pPr>
        <w:pStyle w:val="Heading1"/>
        <w:keepNext/>
      </w:pPr>
      <w:r>
        <w:t>6. Weighted Appraisal Scorecard</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880"/>
            <w:vAlign w:val="center"/>
            <w:shd w:fill="18324A"/>
          </w:tcPr>
          <w:p>
            <w:r/>
            <w:r>
              <w:rPr>
                <w:rFonts w:ascii="Aptos" w:hAnsi="Aptos"/>
                <w:b/>
                <w:color w:val="FFFFFF"/>
                <w:sz w:val="17"/>
              </w:rPr>
              <w:t>Category</w:t>
            </w:r>
          </w:p>
        </w:tc>
        <w:tc>
          <w:tcPr>
            <w:tcW w:type="dxa" w:w="792"/>
            <w:vAlign w:val="center"/>
            <w:shd w:fill="18324A"/>
          </w:tcPr>
          <w:p>
            <w:r/>
            <w:r>
              <w:rPr>
                <w:rFonts w:ascii="Aptos" w:hAnsi="Aptos"/>
                <w:b/>
                <w:color w:val="FFFFFF"/>
                <w:sz w:val="17"/>
              </w:rPr>
              <w:t>Weight</w:t>
            </w:r>
          </w:p>
        </w:tc>
        <w:tc>
          <w:tcPr>
            <w:tcW w:type="dxa" w:w="936"/>
            <w:vAlign w:val="center"/>
            <w:shd w:fill="18324A"/>
          </w:tcPr>
          <w:p>
            <w:r/>
            <w:r>
              <w:rPr>
                <w:rFonts w:ascii="Aptos" w:hAnsi="Aptos"/>
                <w:b/>
                <w:color w:val="FFFFFF"/>
                <w:sz w:val="17"/>
              </w:rPr>
              <w:t>Score 0-5</w:t>
            </w:r>
          </w:p>
        </w:tc>
        <w:tc>
          <w:tcPr>
            <w:tcW w:type="dxa" w:w="936"/>
            <w:vAlign w:val="center"/>
            <w:shd w:fill="18324A"/>
          </w:tcPr>
          <w:p>
            <w:r/>
            <w:r>
              <w:rPr>
                <w:rFonts w:ascii="Aptos" w:hAnsi="Aptos"/>
                <w:b/>
                <w:color w:val="FFFFFF"/>
                <w:sz w:val="17"/>
              </w:rPr>
              <w:t>Weighted</w:t>
            </w:r>
          </w:p>
        </w:tc>
        <w:tc>
          <w:tcPr>
            <w:tcW w:type="dxa" w:w="4680"/>
            <w:vAlign w:val="center"/>
            <w:shd w:fill="18324A"/>
          </w:tcPr>
          <w:p>
            <w:r/>
            <w:r>
              <w:rPr>
                <w:rFonts w:ascii="Aptos" w:hAnsi="Aptos"/>
                <w:b/>
                <w:color w:val="FFFFFF"/>
                <w:sz w:val="17"/>
              </w:rPr>
              <w:t>Rationale</w:t>
            </w:r>
          </w:p>
        </w:tc>
      </w:tr>
      <w:tr>
        <w:tc>
          <w:tcPr>
            <w:tcW w:type="dxa" w:w="2880"/>
            <w:vAlign w:val="center"/>
            <w:shd w:fill="FFFFFF"/>
          </w:tcPr>
          <w:p>
            <w:r/>
            <w:r>
              <w:rPr>
                <w:rFonts w:ascii="Aptos" w:hAnsi="Aptos"/>
                <w:b w:val="0"/>
                <w:sz w:val="17"/>
              </w:rPr>
              <w:t>Therapeutic gap and medical need</w:t>
            </w:r>
          </w:p>
        </w:tc>
        <w:tc>
          <w:tcPr>
            <w:tcW w:type="dxa" w:w="792"/>
            <w:vAlign w:val="center"/>
            <w:shd w:fill="FFFFFF"/>
          </w:tcPr>
          <w:p>
            <w:r/>
            <w:r>
              <w:rPr>
                <w:rFonts w:ascii="Aptos" w:hAnsi="Aptos"/>
                <w:b w:val="0"/>
                <w:sz w:val="17"/>
              </w:rPr>
              <w:t>8</w:t>
            </w:r>
          </w:p>
        </w:tc>
        <w:tc>
          <w:tcPr>
            <w:tcW w:type="dxa" w:w="936"/>
            <w:vAlign w:val="center"/>
            <w:shd w:fill="FFFFFF"/>
          </w:tcPr>
          <w:p>
            <w:r/>
            <w:r>
              <w:rPr>
                <w:rFonts w:ascii="Aptos" w:hAnsi="Aptos"/>
                <w:b w:val="0"/>
                <w:sz w:val="17"/>
              </w:rPr>
              <w:t>5</w:t>
            </w:r>
          </w:p>
        </w:tc>
        <w:tc>
          <w:tcPr>
            <w:tcW w:type="dxa" w:w="936"/>
            <w:vAlign w:val="center"/>
            <w:shd w:fill="FFFFFF"/>
          </w:tcPr>
          <w:p>
            <w:r/>
            <w:r>
              <w:rPr>
                <w:rFonts w:ascii="Aptos" w:hAnsi="Aptos"/>
                <w:b w:val="0"/>
                <w:sz w:val="17"/>
              </w:rPr>
              <w:t>8.0</w:t>
            </w:r>
          </w:p>
        </w:tc>
        <w:tc>
          <w:tcPr>
            <w:tcW w:type="dxa" w:w="4680"/>
            <w:vAlign w:val="center"/>
            <w:shd w:fill="FFFFFF"/>
          </w:tcPr>
          <w:p>
            <w:r/>
            <w:r>
              <w:rPr>
                <w:rFonts w:ascii="Aptos" w:hAnsi="Aptos"/>
                <w:b w:val="0"/>
                <w:sz w:val="17"/>
              </w:rPr>
              <w:t>Strong relevance across cardiometabolic, heart-failure, and kidney-risk populations.</w:t>
            </w:r>
          </w:p>
        </w:tc>
      </w:tr>
      <w:tr>
        <w:tc>
          <w:tcPr>
            <w:tcW w:type="dxa" w:w="2880"/>
            <w:vAlign w:val="center"/>
            <w:shd w:fill="F2F4F6"/>
          </w:tcPr>
          <w:p>
            <w:r/>
            <w:r>
              <w:rPr>
                <w:rFonts w:ascii="Aptos" w:hAnsi="Aptos"/>
                <w:b w:val="0"/>
                <w:sz w:val="17"/>
              </w:rPr>
              <w:t>Molecule and target profile</w:t>
            </w:r>
          </w:p>
        </w:tc>
        <w:tc>
          <w:tcPr>
            <w:tcW w:type="dxa" w:w="792"/>
            <w:vAlign w:val="center"/>
            <w:shd w:fill="F2F4F6"/>
          </w:tcPr>
          <w:p>
            <w:r/>
            <w:r>
              <w:rPr>
                <w:rFonts w:ascii="Aptos" w:hAnsi="Aptos"/>
                <w:b w:val="0"/>
                <w:sz w:val="17"/>
              </w:rPr>
              <w:t>8</w:t>
            </w:r>
          </w:p>
        </w:tc>
        <w:tc>
          <w:tcPr>
            <w:tcW w:type="dxa" w:w="936"/>
            <w:vAlign w:val="center"/>
            <w:shd w:fill="F2F4F6"/>
          </w:tcPr>
          <w:p>
            <w:r/>
            <w:r>
              <w:rPr>
                <w:rFonts w:ascii="Aptos" w:hAnsi="Aptos"/>
                <w:b w:val="0"/>
                <w:sz w:val="17"/>
              </w:rPr>
              <w:t>4</w:t>
            </w:r>
          </w:p>
        </w:tc>
        <w:tc>
          <w:tcPr>
            <w:tcW w:type="dxa" w:w="936"/>
            <w:vAlign w:val="center"/>
            <w:shd w:fill="F2F4F6"/>
          </w:tcPr>
          <w:p>
            <w:r/>
            <w:r>
              <w:rPr>
                <w:rFonts w:ascii="Aptos" w:hAnsi="Aptos"/>
                <w:b w:val="0"/>
                <w:sz w:val="17"/>
              </w:rPr>
              <w:t>6.4</w:t>
            </w:r>
          </w:p>
        </w:tc>
        <w:tc>
          <w:tcPr>
            <w:tcW w:type="dxa" w:w="4680"/>
            <w:vAlign w:val="center"/>
            <w:shd w:fill="F2F4F6"/>
          </w:tcPr>
          <w:p>
            <w:r/>
            <w:r>
              <w:rPr>
                <w:rFonts w:ascii="Aptos" w:hAnsi="Aptos"/>
                <w:b w:val="0"/>
                <w:sz w:val="17"/>
              </w:rPr>
              <w:t>Established SGLT2 mechanism with broad clinical relevance; novelty is no longer high.</w:t>
            </w:r>
          </w:p>
        </w:tc>
      </w:tr>
      <w:tr>
        <w:tc>
          <w:tcPr>
            <w:tcW w:type="dxa" w:w="2880"/>
            <w:vAlign w:val="center"/>
            <w:shd w:fill="FFFFFF"/>
          </w:tcPr>
          <w:p>
            <w:r/>
            <w:r>
              <w:rPr>
                <w:rFonts w:ascii="Aptos" w:hAnsi="Aptos"/>
                <w:b w:val="0"/>
                <w:sz w:val="17"/>
              </w:rPr>
              <w:t>Preclinical evidence</w:t>
            </w:r>
          </w:p>
        </w:tc>
        <w:tc>
          <w:tcPr>
            <w:tcW w:type="dxa" w:w="792"/>
            <w:vAlign w:val="center"/>
            <w:shd w:fill="FFFFFF"/>
          </w:tcPr>
          <w:p>
            <w:r/>
            <w:r>
              <w:rPr>
                <w:rFonts w:ascii="Aptos" w:hAnsi="Aptos"/>
                <w:b w:val="0"/>
                <w:sz w:val="17"/>
              </w:rPr>
              <w:t>6</w:t>
            </w:r>
          </w:p>
        </w:tc>
        <w:tc>
          <w:tcPr>
            <w:tcW w:type="dxa" w:w="936"/>
            <w:vAlign w:val="center"/>
            <w:shd w:fill="FFFFFF"/>
          </w:tcPr>
          <w:p>
            <w:r/>
            <w:r>
              <w:rPr>
                <w:rFonts w:ascii="Aptos" w:hAnsi="Aptos"/>
                <w:b w:val="0"/>
                <w:sz w:val="17"/>
              </w:rPr>
              <w:t>4</w:t>
            </w:r>
          </w:p>
        </w:tc>
        <w:tc>
          <w:tcPr>
            <w:tcW w:type="dxa" w:w="936"/>
            <w:vAlign w:val="center"/>
            <w:shd w:fill="FFFFFF"/>
          </w:tcPr>
          <w:p>
            <w:r/>
            <w:r>
              <w:rPr>
                <w:rFonts w:ascii="Aptos" w:hAnsi="Aptos"/>
                <w:b w:val="0"/>
                <w:sz w:val="17"/>
              </w:rPr>
              <w:t>4.8</w:t>
            </w:r>
          </w:p>
        </w:tc>
        <w:tc>
          <w:tcPr>
            <w:tcW w:type="dxa" w:w="4680"/>
            <w:vAlign w:val="center"/>
            <w:shd w:fill="FFFFFF"/>
          </w:tcPr>
          <w:p>
            <w:r/>
            <w:r>
              <w:rPr>
                <w:rFonts w:ascii="Aptos" w:hAnsi="Aptos"/>
                <w:b w:val="0"/>
                <w:sz w:val="17"/>
              </w:rPr>
              <w:t>Mature marketed product, but detailed preclinical package was outside this run.</w:t>
            </w:r>
          </w:p>
        </w:tc>
      </w:tr>
      <w:tr>
        <w:tc>
          <w:tcPr>
            <w:tcW w:type="dxa" w:w="2880"/>
            <w:vAlign w:val="center"/>
            <w:shd w:fill="F2F4F6"/>
          </w:tcPr>
          <w:p>
            <w:r/>
            <w:r>
              <w:rPr>
                <w:rFonts w:ascii="Aptos" w:hAnsi="Aptos"/>
                <w:b w:val="0"/>
                <w:sz w:val="17"/>
              </w:rPr>
              <w:t>Clinical evidence</w:t>
            </w:r>
          </w:p>
        </w:tc>
        <w:tc>
          <w:tcPr>
            <w:tcW w:type="dxa" w:w="792"/>
            <w:vAlign w:val="center"/>
            <w:shd w:fill="F2F4F6"/>
          </w:tcPr>
          <w:p>
            <w:r/>
            <w:r>
              <w:rPr>
                <w:rFonts w:ascii="Aptos" w:hAnsi="Aptos"/>
                <w:b w:val="0"/>
                <w:sz w:val="17"/>
              </w:rPr>
              <w:t>16</w:t>
            </w:r>
          </w:p>
        </w:tc>
        <w:tc>
          <w:tcPr>
            <w:tcW w:type="dxa" w:w="936"/>
            <w:vAlign w:val="center"/>
            <w:shd w:fill="F2F4F6"/>
          </w:tcPr>
          <w:p>
            <w:r/>
            <w:r>
              <w:rPr>
                <w:rFonts w:ascii="Aptos" w:hAnsi="Aptos"/>
                <w:b w:val="0"/>
                <w:sz w:val="17"/>
              </w:rPr>
              <w:t>5</w:t>
            </w:r>
          </w:p>
        </w:tc>
        <w:tc>
          <w:tcPr>
            <w:tcW w:type="dxa" w:w="936"/>
            <w:vAlign w:val="center"/>
            <w:shd w:fill="F2F4F6"/>
          </w:tcPr>
          <w:p>
            <w:r/>
            <w:r>
              <w:rPr>
                <w:rFonts w:ascii="Aptos" w:hAnsi="Aptos"/>
                <w:b w:val="0"/>
                <w:sz w:val="17"/>
              </w:rPr>
              <w:t>16.0</w:t>
            </w:r>
          </w:p>
        </w:tc>
        <w:tc>
          <w:tcPr>
            <w:tcW w:type="dxa" w:w="4680"/>
            <w:vAlign w:val="center"/>
            <w:shd w:fill="F2F4F6"/>
          </w:tcPr>
          <w:p>
            <w:r/>
            <w:r>
              <w:rPr>
                <w:rFonts w:ascii="Aptos" w:hAnsi="Aptos"/>
                <w:b w:val="0"/>
                <w:sz w:val="17"/>
              </w:rPr>
              <w:t>Multiple major outcomes programs support a broad evidence proposition.</w:t>
            </w:r>
          </w:p>
        </w:tc>
      </w:tr>
      <w:tr>
        <w:tc>
          <w:tcPr>
            <w:tcW w:type="dxa" w:w="2880"/>
            <w:vAlign w:val="center"/>
            <w:shd w:fill="FFFFFF"/>
          </w:tcPr>
          <w:p>
            <w:r/>
            <w:r>
              <w:rPr>
                <w:rFonts w:ascii="Aptos" w:hAnsi="Aptos"/>
                <w:b w:val="0"/>
                <w:sz w:val="17"/>
              </w:rPr>
              <w:t>Safety and tolerability</w:t>
            </w:r>
          </w:p>
        </w:tc>
        <w:tc>
          <w:tcPr>
            <w:tcW w:type="dxa" w:w="792"/>
            <w:vAlign w:val="center"/>
            <w:shd w:fill="FFFFFF"/>
          </w:tcPr>
          <w:p>
            <w:r/>
            <w:r>
              <w:rPr>
                <w:rFonts w:ascii="Aptos" w:hAnsi="Aptos"/>
                <w:b w:val="0"/>
                <w:sz w:val="17"/>
              </w:rPr>
              <w:t>10</w:t>
            </w:r>
          </w:p>
        </w:tc>
        <w:tc>
          <w:tcPr>
            <w:tcW w:type="dxa" w:w="936"/>
            <w:vAlign w:val="center"/>
            <w:shd w:fill="FFFFFF"/>
          </w:tcPr>
          <w:p>
            <w:r/>
            <w:r>
              <w:rPr>
                <w:rFonts w:ascii="Aptos" w:hAnsi="Aptos"/>
                <w:b w:val="0"/>
                <w:sz w:val="17"/>
              </w:rPr>
              <w:t>4</w:t>
            </w:r>
          </w:p>
        </w:tc>
        <w:tc>
          <w:tcPr>
            <w:tcW w:type="dxa" w:w="936"/>
            <w:vAlign w:val="center"/>
            <w:shd w:fill="FFFFFF"/>
          </w:tcPr>
          <w:p>
            <w:r/>
            <w:r>
              <w:rPr>
                <w:rFonts w:ascii="Aptos" w:hAnsi="Aptos"/>
                <w:b w:val="0"/>
                <w:sz w:val="17"/>
              </w:rPr>
              <w:t>8.0</w:t>
            </w:r>
          </w:p>
        </w:tc>
        <w:tc>
          <w:tcPr>
            <w:tcW w:type="dxa" w:w="4680"/>
            <w:vAlign w:val="center"/>
            <w:shd w:fill="FFFFFF"/>
          </w:tcPr>
          <w:p>
            <w:r/>
            <w:r>
              <w:rPr>
                <w:rFonts w:ascii="Aptos" w:hAnsi="Aptos"/>
                <w:b w:val="0"/>
                <w:sz w:val="17"/>
              </w:rPr>
              <w:t>Well-characterized but requires disciplined risk communication and monitoring.</w:t>
            </w:r>
          </w:p>
        </w:tc>
      </w:tr>
      <w:tr>
        <w:tc>
          <w:tcPr>
            <w:tcW w:type="dxa" w:w="2880"/>
            <w:vAlign w:val="center"/>
            <w:shd w:fill="F2F4F6"/>
          </w:tcPr>
          <w:p>
            <w:r/>
            <w:r>
              <w:rPr>
                <w:rFonts w:ascii="Aptos" w:hAnsi="Aptos"/>
                <w:b w:val="0"/>
                <w:sz w:val="17"/>
              </w:rPr>
              <w:t>Regulatory status and pathway</w:t>
            </w:r>
          </w:p>
        </w:tc>
        <w:tc>
          <w:tcPr>
            <w:tcW w:type="dxa" w:w="792"/>
            <w:vAlign w:val="center"/>
            <w:shd w:fill="F2F4F6"/>
          </w:tcPr>
          <w:p>
            <w:r/>
            <w:r>
              <w:rPr>
                <w:rFonts w:ascii="Aptos" w:hAnsi="Aptos"/>
                <w:b w:val="0"/>
                <w:sz w:val="17"/>
              </w:rPr>
              <w:t>8</w:t>
            </w:r>
          </w:p>
        </w:tc>
        <w:tc>
          <w:tcPr>
            <w:tcW w:type="dxa" w:w="936"/>
            <w:vAlign w:val="center"/>
            <w:shd w:fill="F2F4F6"/>
          </w:tcPr>
          <w:p>
            <w:r/>
            <w:r>
              <w:rPr>
                <w:rFonts w:ascii="Aptos" w:hAnsi="Aptos"/>
                <w:b w:val="0"/>
                <w:sz w:val="17"/>
              </w:rPr>
              <w:t>5</w:t>
            </w:r>
          </w:p>
        </w:tc>
        <w:tc>
          <w:tcPr>
            <w:tcW w:type="dxa" w:w="936"/>
            <w:vAlign w:val="center"/>
            <w:shd w:fill="F2F4F6"/>
          </w:tcPr>
          <w:p>
            <w:r/>
            <w:r>
              <w:rPr>
                <w:rFonts w:ascii="Aptos" w:hAnsi="Aptos"/>
                <w:b w:val="0"/>
                <w:sz w:val="17"/>
              </w:rPr>
              <w:t>8.0</w:t>
            </w:r>
          </w:p>
        </w:tc>
        <w:tc>
          <w:tcPr>
            <w:tcW w:type="dxa" w:w="4680"/>
            <w:vAlign w:val="center"/>
            <w:shd w:fill="F2F4F6"/>
          </w:tcPr>
          <w:p>
            <w:r/>
            <w:r>
              <w:rPr>
                <w:rFonts w:ascii="Aptos" w:hAnsi="Aptos"/>
                <w:b w:val="0"/>
                <w:sz w:val="17"/>
              </w:rPr>
              <w:t>Current FDA and EMA sources support broad indications; India label remains to be verified.</w:t>
            </w:r>
          </w:p>
        </w:tc>
      </w:tr>
      <w:tr>
        <w:tc>
          <w:tcPr>
            <w:tcW w:type="dxa" w:w="2880"/>
            <w:vAlign w:val="center"/>
            <w:shd w:fill="FFFFFF"/>
          </w:tcPr>
          <w:p>
            <w:r/>
            <w:r>
              <w:rPr>
                <w:rFonts w:ascii="Aptos" w:hAnsi="Aptos"/>
                <w:b w:val="0"/>
                <w:sz w:val="17"/>
              </w:rPr>
              <w:t>Patent and exclusivity</w:t>
            </w:r>
          </w:p>
        </w:tc>
        <w:tc>
          <w:tcPr>
            <w:tcW w:type="dxa" w:w="792"/>
            <w:vAlign w:val="center"/>
            <w:shd w:fill="FFFFFF"/>
          </w:tcPr>
          <w:p>
            <w:r/>
            <w:r>
              <w:rPr>
                <w:rFonts w:ascii="Aptos" w:hAnsi="Aptos"/>
                <w:b w:val="0"/>
                <w:sz w:val="17"/>
              </w:rPr>
              <w:t>8</w:t>
            </w:r>
          </w:p>
        </w:tc>
        <w:tc>
          <w:tcPr>
            <w:tcW w:type="dxa" w:w="936"/>
            <w:vAlign w:val="center"/>
            <w:shd w:fill="FFFFFF"/>
          </w:tcPr>
          <w:p>
            <w:r/>
            <w:r>
              <w:rPr>
                <w:rFonts w:ascii="Aptos" w:hAnsi="Aptos"/>
                <w:b w:val="0"/>
                <w:sz w:val="17"/>
              </w:rPr>
              <w:t>2</w:t>
            </w:r>
          </w:p>
        </w:tc>
        <w:tc>
          <w:tcPr>
            <w:tcW w:type="dxa" w:w="936"/>
            <w:vAlign w:val="center"/>
            <w:shd w:fill="FFFFFF"/>
          </w:tcPr>
          <w:p>
            <w:r/>
            <w:r>
              <w:rPr>
                <w:rFonts w:ascii="Aptos" w:hAnsi="Aptos"/>
                <w:b w:val="0"/>
                <w:sz w:val="17"/>
              </w:rPr>
              <w:t>3.2</w:t>
            </w:r>
          </w:p>
        </w:tc>
        <w:tc>
          <w:tcPr>
            <w:tcW w:type="dxa" w:w="4680"/>
            <w:vAlign w:val="center"/>
            <w:shd w:fill="FFFFFF"/>
          </w:tcPr>
          <w:p>
            <w:r/>
            <w:r>
              <w:rPr>
                <w:rFonts w:ascii="Aptos" w:hAnsi="Aptos"/>
                <w:b w:val="0"/>
                <w:sz w:val="17"/>
              </w:rPr>
              <w:t>Conservative score because authoritative India-specific diligence data were not supplied.</w:t>
            </w:r>
          </w:p>
        </w:tc>
      </w:tr>
      <w:tr>
        <w:tc>
          <w:tcPr>
            <w:tcW w:type="dxa" w:w="2880"/>
            <w:vAlign w:val="center"/>
            <w:shd w:fill="F2F4F6"/>
          </w:tcPr>
          <w:p>
            <w:r/>
            <w:r>
              <w:rPr>
                <w:rFonts w:ascii="Aptos" w:hAnsi="Aptos"/>
                <w:b w:val="0"/>
                <w:sz w:val="17"/>
              </w:rPr>
              <w:t>Competitor landscape</w:t>
            </w:r>
          </w:p>
        </w:tc>
        <w:tc>
          <w:tcPr>
            <w:tcW w:type="dxa" w:w="792"/>
            <w:vAlign w:val="center"/>
            <w:shd w:fill="F2F4F6"/>
          </w:tcPr>
          <w:p>
            <w:r/>
            <w:r>
              <w:rPr>
                <w:rFonts w:ascii="Aptos" w:hAnsi="Aptos"/>
                <w:b w:val="0"/>
                <w:sz w:val="17"/>
              </w:rPr>
              <w:t>8</w:t>
            </w:r>
          </w:p>
        </w:tc>
        <w:tc>
          <w:tcPr>
            <w:tcW w:type="dxa" w:w="936"/>
            <w:vAlign w:val="center"/>
            <w:shd w:fill="F2F4F6"/>
          </w:tcPr>
          <w:p>
            <w:r/>
            <w:r>
              <w:rPr>
                <w:rFonts w:ascii="Aptos" w:hAnsi="Aptos"/>
                <w:b w:val="0"/>
                <w:sz w:val="17"/>
              </w:rPr>
              <w:t>4</w:t>
            </w:r>
          </w:p>
        </w:tc>
        <w:tc>
          <w:tcPr>
            <w:tcW w:type="dxa" w:w="936"/>
            <w:vAlign w:val="center"/>
            <w:shd w:fill="F2F4F6"/>
          </w:tcPr>
          <w:p>
            <w:r/>
            <w:r>
              <w:rPr>
                <w:rFonts w:ascii="Aptos" w:hAnsi="Aptos"/>
                <w:b w:val="0"/>
                <w:sz w:val="17"/>
              </w:rPr>
              <w:t>6.4</w:t>
            </w:r>
          </w:p>
        </w:tc>
        <w:tc>
          <w:tcPr>
            <w:tcW w:type="dxa" w:w="4680"/>
            <w:vAlign w:val="center"/>
            <w:shd w:fill="F2F4F6"/>
          </w:tcPr>
          <w:p>
            <w:r/>
            <w:r>
              <w:rPr>
                <w:rFonts w:ascii="Aptos" w:hAnsi="Aptos"/>
                <w:b w:val="0"/>
                <w:sz w:val="17"/>
              </w:rPr>
              <w:t>Strong class position but significant crowding and price competition.</w:t>
            </w:r>
          </w:p>
        </w:tc>
      </w:tr>
      <w:tr>
        <w:tc>
          <w:tcPr>
            <w:tcW w:type="dxa" w:w="2880"/>
            <w:vAlign w:val="center"/>
            <w:shd w:fill="FFFFFF"/>
          </w:tcPr>
          <w:p>
            <w:r/>
            <w:r>
              <w:rPr>
                <w:rFonts w:ascii="Aptos" w:hAnsi="Aptos"/>
                <w:b w:val="0"/>
                <w:sz w:val="17"/>
              </w:rPr>
              <w:t>Pricing and market access</w:t>
            </w:r>
          </w:p>
        </w:tc>
        <w:tc>
          <w:tcPr>
            <w:tcW w:type="dxa" w:w="792"/>
            <w:vAlign w:val="center"/>
            <w:shd w:fill="FFFFFF"/>
          </w:tcPr>
          <w:p>
            <w:r/>
            <w:r>
              <w:rPr>
                <w:rFonts w:ascii="Aptos" w:hAnsi="Aptos"/>
                <w:b w:val="0"/>
                <w:sz w:val="17"/>
              </w:rPr>
              <w:t>7</w:t>
            </w:r>
          </w:p>
        </w:tc>
        <w:tc>
          <w:tcPr>
            <w:tcW w:type="dxa" w:w="936"/>
            <w:vAlign w:val="center"/>
            <w:shd w:fill="FFFFFF"/>
          </w:tcPr>
          <w:p>
            <w:r/>
            <w:r>
              <w:rPr>
                <w:rFonts w:ascii="Aptos" w:hAnsi="Aptos"/>
                <w:b w:val="0"/>
                <w:sz w:val="17"/>
              </w:rPr>
              <w:t>3</w:t>
            </w:r>
          </w:p>
        </w:tc>
        <w:tc>
          <w:tcPr>
            <w:tcW w:type="dxa" w:w="936"/>
            <w:vAlign w:val="center"/>
            <w:shd w:fill="FFFFFF"/>
          </w:tcPr>
          <w:p>
            <w:r/>
            <w:r>
              <w:rPr>
                <w:rFonts w:ascii="Aptos" w:hAnsi="Aptos"/>
                <w:b w:val="0"/>
                <w:sz w:val="17"/>
              </w:rPr>
              <w:t>4.2</w:t>
            </w:r>
          </w:p>
        </w:tc>
        <w:tc>
          <w:tcPr>
            <w:tcW w:type="dxa" w:w="4680"/>
            <w:vAlign w:val="center"/>
            <w:shd w:fill="FFFFFF"/>
          </w:tcPr>
          <w:p>
            <w:r/>
            <w:r>
              <w:rPr>
                <w:rFonts w:ascii="Aptos" w:hAnsi="Aptos"/>
                <w:b w:val="0"/>
                <w:sz w:val="17"/>
              </w:rPr>
              <w:t>Conservative score because authoritative India-specific diligence data were not supplied.</w:t>
            </w:r>
          </w:p>
        </w:tc>
      </w:tr>
      <w:tr>
        <w:tc>
          <w:tcPr>
            <w:tcW w:type="dxa" w:w="2880"/>
            <w:vAlign w:val="center"/>
            <w:shd w:fill="F2F4F6"/>
          </w:tcPr>
          <w:p>
            <w:r/>
            <w:r>
              <w:rPr>
                <w:rFonts w:ascii="Aptos" w:hAnsi="Aptos"/>
                <w:b w:val="0"/>
                <w:sz w:val="17"/>
              </w:rPr>
              <w:t>API economics and supply</w:t>
            </w:r>
          </w:p>
        </w:tc>
        <w:tc>
          <w:tcPr>
            <w:tcW w:type="dxa" w:w="792"/>
            <w:vAlign w:val="center"/>
            <w:shd w:fill="F2F4F6"/>
          </w:tcPr>
          <w:p>
            <w:r/>
            <w:r>
              <w:rPr>
                <w:rFonts w:ascii="Aptos" w:hAnsi="Aptos"/>
                <w:b w:val="0"/>
                <w:sz w:val="17"/>
              </w:rPr>
              <w:t>5</w:t>
            </w:r>
          </w:p>
        </w:tc>
        <w:tc>
          <w:tcPr>
            <w:tcW w:type="dxa" w:w="936"/>
            <w:vAlign w:val="center"/>
            <w:shd w:fill="F2F4F6"/>
          </w:tcPr>
          <w:p>
            <w:r/>
            <w:r>
              <w:rPr>
                <w:rFonts w:ascii="Aptos" w:hAnsi="Aptos"/>
                <w:b w:val="0"/>
                <w:sz w:val="17"/>
              </w:rPr>
              <w:t>3</w:t>
            </w:r>
          </w:p>
        </w:tc>
        <w:tc>
          <w:tcPr>
            <w:tcW w:type="dxa" w:w="936"/>
            <w:vAlign w:val="center"/>
            <w:shd w:fill="F2F4F6"/>
          </w:tcPr>
          <w:p>
            <w:r/>
            <w:r>
              <w:rPr>
                <w:rFonts w:ascii="Aptos" w:hAnsi="Aptos"/>
                <w:b w:val="0"/>
                <w:sz w:val="17"/>
              </w:rPr>
              <w:t>3.0</w:t>
            </w:r>
          </w:p>
        </w:tc>
        <w:tc>
          <w:tcPr>
            <w:tcW w:type="dxa" w:w="4680"/>
            <w:vAlign w:val="center"/>
            <w:shd w:fill="F2F4F6"/>
          </w:tcPr>
          <w:p>
            <w:r/>
            <w:r>
              <w:rPr>
                <w:rFonts w:ascii="Aptos" w:hAnsi="Aptos"/>
                <w:b w:val="0"/>
                <w:sz w:val="17"/>
              </w:rPr>
              <w:t>Conservative score because authoritative India-specific diligence data were not supplied.</w:t>
            </w:r>
          </w:p>
        </w:tc>
      </w:tr>
      <w:tr>
        <w:tc>
          <w:tcPr>
            <w:tcW w:type="dxa" w:w="2880"/>
            <w:vAlign w:val="center"/>
            <w:shd w:fill="FFFFFF"/>
          </w:tcPr>
          <w:p>
            <w:r/>
            <w:r>
              <w:rPr>
                <w:rFonts w:ascii="Aptos" w:hAnsi="Aptos"/>
                <w:b w:val="0"/>
                <w:sz w:val="17"/>
              </w:rPr>
              <w:t>Commercial attractiveness</w:t>
            </w:r>
          </w:p>
        </w:tc>
        <w:tc>
          <w:tcPr>
            <w:tcW w:type="dxa" w:w="792"/>
            <w:vAlign w:val="center"/>
            <w:shd w:fill="FFFFFF"/>
          </w:tcPr>
          <w:p>
            <w:r/>
            <w:r>
              <w:rPr>
                <w:rFonts w:ascii="Aptos" w:hAnsi="Aptos"/>
                <w:b w:val="0"/>
                <w:sz w:val="17"/>
              </w:rPr>
              <w:t>6</w:t>
            </w:r>
          </w:p>
        </w:tc>
        <w:tc>
          <w:tcPr>
            <w:tcW w:type="dxa" w:w="936"/>
            <w:vAlign w:val="center"/>
            <w:shd w:fill="FFFFFF"/>
          </w:tcPr>
          <w:p>
            <w:r/>
            <w:r>
              <w:rPr>
                <w:rFonts w:ascii="Aptos" w:hAnsi="Aptos"/>
                <w:b w:val="0"/>
                <w:sz w:val="17"/>
              </w:rPr>
              <w:t>4</w:t>
            </w:r>
          </w:p>
        </w:tc>
        <w:tc>
          <w:tcPr>
            <w:tcW w:type="dxa" w:w="936"/>
            <w:vAlign w:val="center"/>
            <w:shd w:fill="FFFFFF"/>
          </w:tcPr>
          <w:p>
            <w:r/>
            <w:r>
              <w:rPr>
                <w:rFonts w:ascii="Aptos" w:hAnsi="Aptos"/>
                <w:b w:val="0"/>
                <w:sz w:val="17"/>
              </w:rPr>
              <w:t>4.8</w:t>
            </w:r>
          </w:p>
        </w:tc>
        <w:tc>
          <w:tcPr>
            <w:tcW w:type="dxa" w:w="4680"/>
            <w:vAlign w:val="center"/>
            <w:shd w:fill="FFFFFF"/>
          </w:tcPr>
          <w:p>
            <w:r/>
            <w:r>
              <w:rPr>
                <w:rFonts w:ascii="Aptos" w:hAnsi="Aptos"/>
                <w:b w:val="0"/>
                <w:sz w:val="17"/>
              </w:rPr>
              <w:t>Strong clinical demand potential; local economics remain unverified.</w:t>
            </w:r>
          </w:p>
        </w:tc>
      </w:tr>
      <w:tr>
        <w:tc>
          <w:tcPr>
            <w:tcW w:type="dxa" w:w="2880"/>
            <w:vAlign w:val="center"/>
            <w:shd w:fill="F2F4F6"/>
          </w:tcPr>
          <w:p>
            <w:r/>
            <w:r>
              <w:rPr>
                <w:rFonts w:ascii="Aptos" w:hAnsi="Aptos"/>
                <w:b w:val="0"/>
                <w:sz w:val="17"/>
              </w:rPr>
              <w:t>Strategic fit with company product mix</w:t>
            </w:r>
          </w:p>
        </w:tc>
        <w:tc>
          <w:tcPr>
            <w:tcW w:type="dxa" w:w="792"/>
            <w:vAlign w:val="center"/>
            <w:shd w:fill="F2F4F6"/>
          </w:tcPr>
          <w:p>
            <w:r/>
            <w:r>
              <w:rPr>
                <w:rFonts w:ascii="Aptos" w:hAnsi="Aptos"/>
                <w:b w:val="0"/>
                <w:sz w:val="17"/>
              </w:rPr>
              <w:t>6</w:t>
            </w:r>
          </w:p>
        </w:tc>
        <w:tc>
          <w:tcPr>
            <w:tcW w:type="dxa" w:w="936"/>
            <w:vAlign w:val="center"/>
            <w:shd w:fill="F2F4F6"/>
          </w:tcPr>
          <w:p>
            <w:r/>
            <w:r>
              <w:rPr>
                <w:rFonts w:ascii="Aptos" w:hAnsi="Aptos"/>
                <w:b w:val="0"/>
                <w:sz w:val="17"/>
              </w:rPr>
              <w:t>5</w:t>
            </w:r>
          </w:p>
        </w:tc>
        <w:tc>
          <w:tcPr>
            <w:tcW w:type="dxa" w:w="936"/>
            <w:vAlign w:val="center"/>
            <w:shd w:fill="F2F4F6"/>
          </w:tcPr>
          <w:p>
            <w:r/>
            <w:r>
              <w:rPr>
                <w:rFonts w:ascii="Aptos" w:hAnsi="Aptos"/>
                <w:b w:val="0"/>
                <w:sz w:val="17"/>
              </w:rPr>
              <w:t>6.0</w:t>
            </w:r>
          </w:p>
        </w:tc>
        <w:tc>
          <w:tcPr>
            <w:tcW w:type="dxa" w:w="4680"/>
            <w:vAlign w:val="center"/>
            <w:shd w:fill="F2F4F6"/>
          </w:tcPr>
          <w:p>
            <w:r/>
            <w:r>
              <w:rPr>
                <w:rFonts w:ascii="Aptos" w:hAnsi="Aptos"/>
                <w:b w:val="0"/>
                <w:sz w:val="17"/>
              </w:rPr>
              <w:t>High fit for an integrated cardiometabolic-renal portfolio.</w:t>
            </w:r>
          </w:p>
        </w:tc>
      </w:tr>
      <w:tr>
        <w:tc>
          <w:tcPr>
            <w:tcW w:type="dxa" w:w="2880"/>
            <w:vAlign w:val="center"/>
            <w:shd w:fill="FFFFFF"/>
          </w:tcPr>
          <w:p>
            <w:r/>
            <w:r>
              <w:rPr>
                <w:rFonts w:ascii="Aptos" w:hAnsi="Aptos"/>
                <w:b w:val="0"/>
                <w:sz w:val="17"/>
              </w:rPr>
              <w:t>Operational and CMC feasibility</w:t>
            </w:r>
          </w:p>
        </w:tc>
        <w:tc>
          <w:tcPr>
            <w:tcW w:type="dxa" w:w="792"/>
            <w:vAlign w:val="center"/>
            <w:shd w:fill="FFFFFF"/>
          </w:tcPr>
          <w:p>
            <w:r/>
            <w:r>
              <w:rPr>
                <w:rFonts w:ascii="Aptos" w:hAnsi="Aptos"/>
                <w:b w:val="0"/>
                <w:sz w:val="17"/>
              </w:rPr>
              <w:t>4</w:t>
            </w:r>
          </w:p>
        </w:tc>
        <w:tc>
          <w:tcPr>
            <w:tcW w:type="dxa" w:w="936"/>
            <w:vAlign w:val="center"/>
            <w:shd w:fill="FFFFFF"/>
          </w:tcPr>
          <w:p>
            <w:r/>
            <w:r>
              <w:rPr>
                <w:rFonts w:ascii="Aptos" w:hAnsi="Aptos"/>
                <w:b w:val="0"/>
                <w:sz w:val="17"/>
              </w:rPr>
              <w:t>4</w:t>
            </w:r>
          </w:p>
        </w:tc>
        <w:tc>
          <w:tcPr>
            <w:tcW w:type="dxa" w:w="936"/>
            <w:vAlign w:val="center"/>
            <w:shd w:fill="FFFFFF"/>
          </w:tcPr>
          <w:p>
            <w:r/>
            <w:r>
              <w:rPr>
                <w:rFonts w:ascii="Aptos" w:hAnsi="Aptos"/>
                <w:b w:val="0"/>
                <w:sz w:val="17"/>
              </w:rPr>
              <w:t>3.2</w:t>
            </w:r>
          </w:p>
        </w:tc>
        <w:tc>
          <w:tcPr>
            <w:tcW w:type="dxa" w:w="4680"/>
            <w:vAlign w:val="center"/>
            <w:shd w:fill="FFFFFF"/>
          </w:tcPr>
          <w:p>
            <w:r/>
            <w:r>
              <w:rPr>
                <w:rFonts w:ascii="Aptos" w:hAnsi="Aptos"/>
                <w:b w:val="0"/>
                <w:sz w:val="17"/>
              </w:rPr>
              <w:t>Mature product class, but company-specific CMC and supply data are missing.</w:t>
            </w:r>
          </w:p>
        </w:tc>
      </w:tr>
      <w:tr>
        <w:tc>
          <w:tcPr>
            <w:tcW w:type="dxa" w:w="2880"/>
            <w:vAlign w:val="center"/>
            <w:shd w:fill="F2F4F6"/>
          </w:tcPr>
          <w:p>
            <w:r/>
            <w:r>
              <w:rPr>
                <w:rFonts w:ascii="Aptos" w:hAnsi="Aptos"/>
                <w:b w:val="0"/>
                <w:sz w:val="17"/>
              </w:rPr>
              <w:t>HCP value proposition</w:t>
            </w:r>
          </w:p>
        </w:tc>
        <w:tc>
          <w:tcPr>
            <w:tcW w:type="dxa" w:w="792"/>
            <w:vAlign w:val="center"/>
            <w:shd w:fill="F2F4F6"/>
          </w:tcPr>
          <w:p>
            <w:r/>
            <w:r>
              <w:rPr>
                <w:rFonts w:ascii="Aptos" w:hAnsi="Aptos"/>
                <w:b w:val="0"/>
                <w:sz w:val="17"/>
              </w:rPr>
              <w:t>4</w:t>
            </w:r>
          </w:p>
        </w:tc>
        <w:tc>
          <w:tcPr>
            <w:tcW w:type="dxa" w:w="936"/>
            <w:vAlign w:val="center"/>
            <w:shd w:fill="F2F4F6"/>
          </w:tcPr>
          <w:p>
            <w:r/>
            <w:r>
              <w:rPr>
                <w:rFonts w:ascii="Aptos" w:hAnsi="Aptos"/>
                <w:b w:val="0"/>
                <w:sz w:val="17"/>
              </w:rPr>
              <w:t>5</w:t>
            </w:r>
          </w:p>
        </w:tc>
        <w:tc>
          <w:tcPr>
            <w:tcW w:type="dxa" w:w="936"/>
            <w:vAlign w:val="center"/>
            <w:shd w:fill="F2F4F6"/>
          </w:tcPr>
          <w:p>
            <w:r/>
            <w:r>
              <w:rPr>
                <w:rFonts w:ascii="Aptos" w:hAnsi="Aptos"/>
                <w:b w:val="0"/>
                <w:sz w:val="17"/>
              </w:rPr>
              <w:t>4.0</w:t>
            </w:r>
          </w:p>
        </w:tc>
        <w:tc>
          <w:tcPr>
            <w:tcW w:type="dxa" w:w="4680"/>
            <w:vAlign w:val="center"/>
            <w:shd w:fill="F2F4F6"/>
          </w:tcPr>
          <w:p>
            <w:r/>
            <w:r>
              <w:rPr>
                <w:rFonts w:ascii="Aptos" w:hAnsi="Aptos"/>
                <w:b w:val="0"/>
                <w:sz w:val="17"/>
              </w:rPr>
              <w:t>Clear evidence-based cardiorenal value proposition with practical once-daily dosing.</w:t>
            </w:r>
          </w:p>
        </w:tc>
      </w:tr>
      <w:tr>
        <w:tc>
          <w:tcPr>
            <w:tcW w:type="dxa" w:w="2880"/>
            <w:vAlign w:val="center"/>
            <w:shd w:fill="FFFFFF"/>
          </w:tcPr>
          <w:p>
            <w:r/>
            <w:r>
              <w:rPr>
                <w:rFonts w:ascii="Aptos" w:hAnsi="Aptos"/>
                <w:b w:val="0"/>
                <w:sz w:val="17"/>
              </w:rPr>
              <w:t>Evidence quality and digital intelligence</w:t>
            </w:r>
          </w:p>
        </w:tc>
        <w:tc>
          <w:tcPr>
            <w:tcW w:type="dxa" w:w="792"/>
            <w:vAlign w:val="center"/>
            <w:shd w:fill="FFFFFF"/>
          </w:tcPr>
          <w:p>
            <w:r/>
            <w:r>
              <w:rPr>
                <w:rFonts w:ascii="Aptos" w:hAnsi="Aptos"/>
                <w:b w:val="0"/>
                <w:sz w:val="17"/>
              </w:rPr>
              <w:t>3</w:t>
            </w:r>
          </w:p>
        </w:tc>
        <w:tc>
          <w:tcPr>
            <w:tcW w:type="dxa" w:w="936"/>
            <w:vAlign w:val="center"/>
            <w:shd w:fill="FFFFFF"/>
          </w:tcPr>
          <w:p>
            <w:r/>
            <w:r>
              <w:rPr>
                <w:rFonts w:ascii="Aptos" w:hAnsi="Aptos"/>
                <w:b w:val="0"/>
                <w:sz w:val="17"/>
              </w:rPr>
              <w:t>5</w:t>
            </w:r>
          </w:p>
        </w:tc>
        <w:tc>
          <w:tcPr>
            <w:tcW w:type="dxa" w:w="936"/>
            <w:vAlign w:val="center"/>
            <w:shd w:fill="FFFFFF"/>
          </w:tcPr>
          <w:p>
            <w:r/>
            <w:r>
              <w:rPr>
                <w:rFonts w:ascii="Aptos" w:hAnsi="Aptos"/>
                <w:b w:val="0"/>
                <w:sz w:val="17"/>
              </w:rPr>
              <w:t>3.0</w:t>
            </w:r>
          </w:p>
        </w:tc>
        <w:tc>
          <w:tcPr>
            <w:tcW w:type="dxa" w:w="4680"/>
            <w:vAlign w:val="center"/>
            <w:shd w:fill="FFFFFF"/>
          </w:tcPr>
          <w:p>
            <w:r/>
            <w:r>
              <w:rPr>
                <w:rFonts w:ascii="Aptos" w:hAnsi="Aptos"/>
                <w:b w:val="0"/>
                <w:sz w:val="17"/>
              </w:rPr>
              <w:t>High-quality regulatory and pivotal outcome sources are readily available.</w:t>
            </w:r>
          </w:p>
        </w:tc>
      </w:tr>
      <w:tr>
        <w:tc>
          <w:tcPr>
            <w:tcW w:type="dxa" w:w="2880"/>
            <w:vAlign w:val="center"/>
            <w:shd w:fill="F2F4F6"/>
          </w:tcPr>
          <w:p>
            <w:r/>
            <w:r>
              <w:rPr>
                <w:rFonts w:ascii="Aptos" w:hAnsi="Aptos"/>
                <w:b w:val="0"/>
                <w:sz w:val="17"/>
              </w:rPr>
              <w:t>Reputation, ethics, and access</w:t>
            </w:r>
          </w:p>
        </w:tc>
        <w:tc>
          <w:tcPr>
            <w:tcW w:type="dxa" w:w="792"/>
            <w:vAlign w:val="center"/>
            <w:shd w:fill="F2F4F6"/>
          </w:tcPr>
          <w:p>
            <w:r/>
            <w:r>
              <w:rPr>
                <w:rFonts w:ascii="Aptos" w:hAnsi="Aptos"/>
                <w:b w:val="0"/>
                <w:sz w:val="17"/>
              </w:rPr>
              <w:t>1</w:t>
            </w:r>
          </w:p>
        </w:tc>
        <w:tc>
          <w:tcPr>
            <w:tcW w:type="dxa" w:w="936"/>
            <w:vAlign w:val="center"/>
            <w:shd w:fill="F2F4F6"/>
          </w:tcPr>
          <w:p>
            <w:r/>
            <w:r>
              <w:rPr>
                <w:rFonts w:ascii="Aptos" w:hAnsi="Aptos"/>
                <w:b w:val="0"/>
                <w:sz w:val="17"/>
              </w:rPr>
              <w:t>4</w:t>
            </w:r>
          </w:p>
        </w:tc>
        <w:tc>
          <w:tcPr>
            <w:tcW w:type="dxa" w:w="936"/>
            <w:vAlign w:val="center"/>
            <w:shd w:fill="F2F4F6"/>
          </w:tcPr>
          <w:p>
            <w:r/>
            <w:r>
              <w:rPr>
                <w:rFonts w:ascii="Aptos" w:hAnsi="Aptos"/>
                <w:b w:val="0"/>
                <w:sz w:val="17"/>
              </w:rPr>
              <w:t>0.8</w:t>
            </w:r>
          </w:p>
        </w:tc>
        <w:tc>
          <w:tcPr>
            <w:tcW w:type="dxa" w:w="4680"/>
            <w:vAlign w:val="center"/>
            <w:shd w:fill="F2F4F6"/>
          </w:tcPr>
          <w:p>
            <w:r/>
            <w:r>
              <w:rPr>
                <w:rFonts w:ascii="Aptos" w:hAnsi="Aptos"/>
                <w:b w:val="0"/>
                <w:sz w:val="17"/>
              </w:rPr>
              <w:t>Potential major public-health value, subject to affordability and appropriate use.</w:t>
            </w:r>
          </w:p>
        </w:tc>
      </w:tr>
    </w:tbl>
    <w:p>
      <w:pPr>
        <w:spacing w:after="40"/>
      </w:pPr>
    </w:p>
    <w:p>
      <w:pPr>
        <w:jc w:val="right"/>
      </w:pPr>
      <w:r>
        <w:rPr>
          <w:b/>
          <w:color w:val="137C7B"/>
          <w:sz w:val="24"/>
        </w:rPr>
        <w:t>Total preliminary weighted score: 89.8 / 100</w:t>
      </w:r>
    </w:p>
    <w:p>
      <w:pPr>
        <w:pStyle w:val="Heading1"/>
        <w:keepNext/>
      </w:pPr>
      <w:r>
        <w:t>7. Mandatory Red-Flag Review</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944"/>
            <w:vAlign w:val="center"/>
            <w:shd w:fill="F5E6B7"/>
          </w:tcPr>
          <w:p>
            <w:r/>
            <w:r>
              <w:rPr>
                <w:rFonts w:ascii="Aptos" w:hAnsi="Aptos"/>
                <w:b/>
                <w:color w:val="FFFFFF"/>
                <w:sz w:val="17"/>
              </w:rPr>
              <w:t>Area</w:t>
            </w:r>
          </w:p>
        </w:tc>
        <w:tc>
          <w:tcPr>
            <w:tcW w:type="dxa" w:w="4896"/>
            <w:vAlign w:val="center"/>
            <w:shd w:fill="F5E6B7"/>
          </w:tcPr>
          <w:p>
            <w:r/>
            <w:r>
              <w:rPr>
                <w:rFonts w:ascii="Aptos" w:hAnsi="Aptos"/>
                <w:b/>
                <w:color w:val="FFFFFF"/>
                <w:sz w:val="17"/>
              </w:rPr>
              <w:t>Finding</w:t>
            </w:r>
          </w:p>
        </w:tc>
        <w:tc>
          <w:tcPr>
            <w:tcW w:type="dxa" w:w="3384"/>
            <w:vAlign w:val="center"/>
            <w:shd w:fill="F5E6B7"/>
          </w:tcPr>
          <w:p>
            <w:r/>
            <w:r>
              <w:rPr>
                <w:rFonts w:ascii="Aptos" w:hAnsi="Aptos"/>
                <w:b/>
                <w:color w:val="FFFFFF"/>
                <w:sz w:val="17"/>
              </w:rPr>
              <w:t>Required disposition</w:t>
            </w:r>
          </w:p>
        </w:tc>
      </w:tr>
      <w:tr>
        <w:tc>
          <w:tcPr>
            <w:tcW w:type="dxa" w:w="1944"/>
            <w:vAlign w:val="center"/>
            <w:shd w:fill="FFFFFF"/>
          </w:tcPr>
          <w:p>
            <w:r/>
            <w:r>
              <w:rPr>
                <w:rFonts w:ascii="Aptos" w:hAnsi="Aptos"/>
                <w:b w:val="0"/>
                <w:sz w:val="17"/>
              </w:rPr>
              <w:t>India label and status</w:t>
            </w:r>
          </w:p>
        </w:tc>
        <w:tc>
          <w:tcPr>
            <w:tcW w:type="dxa" w:w="4896"/>
            <w:vAlign w:val="center"/>
            <w:shd w:fill="FFFFFF"/>
          </w:tcPr>
          <w:p>
            <w:r/>
            <w:r>
              <w:rPr>
                <w:rFonts w:ascii="Aptos" w:hAnsi="Aptos"/>
                <w:b w:val="0"/>
                <w:sz w:val="17"/>
              </w:rPr>
              <w:t>Exact current India-approved indications and prescribing information were not verified.</w:t>
            </w:r>
          </w:p>
        </w:tc>
        <w:tc>
          <w:tcPr>
            <w:tcW w:type="dxa" w:w="3384"/>
            <w:vAlign w:val="center"/>
            <w:shd w:fill="FFFFFF"/>
          </w:tcPr>
          <w:p>
            <w:r/>
            <w:r>
              <w:rPr>
                <w:rFonts w:ascii="Aptos" w:hAnsi="Aptos"/>
                <w:b w:val="0"/>
                <w:sz w:val="17"/>
              </w:rPr>
              <w:t>Regulatory verification required.</w:t>
            </w:r>
          </w:p>
        </w:tc>
      </w:tr>
      <w:tr>
        <w:tc>
          <w:tcPr>
            <w:tcW w:type="dxa" w:w="1944"/>
            <w:vAlign w:val="center"/>
            <w:shd w:fill="F2F4F6"/>
          </w:tcPr>
          <w:p>
            <w:r/>
            <w:r>
              <w:rPr>
                <w:rFonts w:ascii="Aptos" w:hAnsi="Aptos"/>
                <w:b w:val="0"/>
                <w:sz w:val="17"/>
              </w:rPr>
              <w:t>Patent/FTO</w:t>
            </w:r>
          </w:p>
        </w:tc>
        <w:tc>
          <w:tcPr>
            <w:tcW w:type="dxa" w:w="4896"/>
            <w:vAlign w:val="center"/>
            <w:shd w:fill="F2F4F6"/>
          </w:tcPr>
          <w:p>
            <w:r/>
            <w:r>
              <w:rPr>
                <w:rFonts w:ascii="Aptos" w:hAnsi="Aptos"/>
                <w:b w:val="0"/>
                <w:sz w:val="17"/>
              </w:rPr>
              <w:t>No authoritative India patent or FTO opinion was available.</w:t>
            </w:r>
          </w:p>
        </w:tc>
        <w:tc>
          <w:tcPr>
            <w:tcW w:type="dxa" w:w="3384"/>
            <w:vAlign w:val="center"/>
            <w:shd w:fill="F2F4F6"/>
          </w:tcPr>
          <w:p>
            <w:r/>
            <w:r>
              <w:rPr>
                <w:rFonts w:ascii="Aptos" w:hAnsi="Aptos"/>
                <w:b w:val="0"/>
                <w:sz w:val="17"/>
              </w:rPr>
              <w:t>Legal diligence required.</w:t>
            </w:r>
          </w:p>
        </w:tc>
      </w:tr>
      <w:tr>
        <w:tc>
          <w:tcPr>
            <w:tcW w:type="dxa" w:w="1944"/>
            <w:vAlign w:val="center"/>
            <w:shd w:fill="FFFFFF"/>
          </w:tcPr>
          <w:p>
            <w:r/>
            <w:r>
              <w:rPr>
                <w:rFonts w:ascii="Aptos" w:hAnsi="Aptos"/>
                <w:b w:val="0"/>
                <w:sz w:val="17"/>
              </w:rPr>
              <w:t>Market and supply</w:t>
            </w:r>
          </w:p>
        </w:tc>
        <w:tc>
          <w:tcPr>
            <w:tcW w:type="dxa" w:w="4896"/>
            <w:vAlign w:val="center"/>
            <w:shd w:fill="FFFFFF"/>
          </w:tcPr>
          <w:p>
            <w:r/>
            <w:r>
              <w:rPr>
                <w:rFonts w:ascii="Aptos" w:hAnsi="Aptos"/>
                <w:b w:val="0"/>
                <w:sz w:val="17"/>
              </w:rPr>
              <w:t>Validated local pricing, market share, API economics, and supply data were not supplied.</w:t>
            </w:r>
          </w:p>
        </w:tc>
        <w:tc>
          <w:tcPr>
            <w:tcW w:type="dxa" w:w="3384"/>
            <w:vAlign w:val="center"/>
            <w:shd w:fill="FFFFFF"/>
          </w:tcPr>
          <w:p>
            <w:r/>
            <w:r>
              <w:rPr>
                <w:rFonts w:ascii="Aptos" w:hAnsi="Aptos"/>
                <w:b w:val="0"/>
                <w:sz w:val="17"/>
              </w:rPr>
              <w:t>Commercial and supply diligence required.</w:t>
            </w:r>
          </w:p>
        </w:tc>
      </w:tr>
      <w:tr>
        <w:tc>
          <w:tcPr>
            <w:tcW w:type="dxa" w:w="1944"/>
            <w:vAlign w:val="center"/>
            <w:shd w:fill="F2F4F6"/>
          </w:tcPr>
          <w:p>
            <w:r/>
            <w:r>
              <w:rPr>
                <w:rFonts w:ascii="Aptos" w:hAnsi="Aptos"/>
                <w:b w:val="0"/>
                <w:sz w:val="17"/>
              </w:rPr>
              <w:t>Safety execution</w:t>
            </w:r>
          </w:p>
        </w:tc>
        <w:tc>
          <w:tcPr>
            <w:tcW w:type="dxa" w:w="4896"/>
            <w:vAlign w:val="center"/>
            <w:shd w:fill="F2F4F6"/>
          </w:tcPr>
          <w:p>
            <w:r/>
            <w:r>
              <w:rPr>
                <w:rFonts w:ascii="Aptos" w:hAnsi="Aptos"/>
                <w:b w:val="0"/>
                <w:sz w:val="17"/>
              </w:rPr>
              <w:t>SGLT2 class risks require clear patient selection, monitoring, perioperative interruption, and escalation education.</w:t>
            </w:r>
          </w:p>
        </w:tc>
        <w:tc>
          <w:tcPr>
            <w:tcW w:type="dxa" w:w="3384"/>
            <w:vAlign w:val="center"/>
            <w:shd w:fill="F2F4F6"/>
          </w:tcPr>
          <w:p>
            <w:r/>
            <w:r>
              <w:rPr>
                <w:rFonts w:ascii="Aptos" w:hAnsi="Aptos"/>
                <w:b w:val="0"/>
                <w:sz w:val="17"/>
              </w:rPr>
              <w:t>Mandatory medical and PV controls.</w:t>
            </w:r>
          </w:p>
        </w:tc>
      </w:tr>
    </w:tbl>
    <w:p>
      <w:pPr>
        <w:spacing w:after="40"/>
      </w:pPr>
    </w:p>
    <w:p>
      <w:pPr>
        <w:pStyle w:val="Heading1"/>
        <w:keepNext/>
      </w:pPr>
      <w:r>
        <w:t>8. Clinical, Safety, and Regulatory Interpretation</w:t>
      </w:r>
    </w:p>
    <w:p>
      <w:pPr>
        <w:pStyle w:val="ListBullet"/>
      </w:pPr>
      <w:r>
        <w:t>Empagliflozin has a strong outcomes-based evidence platform extending beyond glycemic control.</w:t>
      </w:r>
    </w:p>
    <w:p>
      <w:pPr>
        <w:pStyle w:val="ListBullet"/>
      </w:pPr>
      <w:r>
        <w:t>Current FDA labeling includes heart failure, chronic kidney disease, cardiovascular-risk reduction in defined patients, and glycemic control indications.</w:t>
      </w:r>
    </w:p>
    <w:p>
      <w:pPr>
        <w:pStyle w:val="ListBullet"/>
      </w:pPr>
      <w:r>
        <w:t>Benefit-risk communication must visibly include ketoacidosis, volume depletion, genitourinary infection, hypoglycemia with insulin/secretagogues, perioperative interruption, and other current label controls.</w:t>
      </w:r>
    </w:p>
    <w:p>
      <w:pPr>
        <w:pStyle w:val="ListBullet"/>
      </w:pPr>
      <w:r>
        <w:t>Exact India-approved indications, restrictions, safety wording, and use conditions must govern any local content.</w:t>
      </w:r>
    </w:p>
    <w:p>
      <w:pPr>
        <w:pStyle w:val="Heading1"/>
        <w:keepNext/>
      </w:pPr>
      <w:r>
        <w:t>9. Cross-Functional Diligence Plan</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944"/>
            <w:vAlign w:val="center"/>
            <w:shd w:fill="18324A"/>
          </w:tcPr>
          <w:p>
            <w:r/>
            <w:r>
              <w:rPr>
                <w:rFonts w:ascii="Aptos" w:hAnsi="Aptos"/>
                <w:b/>
                <w:color w:val="FFFFFF"/>
                <w:sz w:val="17"/>
              </w:rPr>
              <w:t>Function</w:t>
            </w:r>
          </w:p>
        </w:tc>
        <w:tc>
          <w:tcPr>
            <w:tcW w:type="dxa" w:w="7128"/>
            <w:vAlign w:val="center"/>
            <w:shd w:fill="18324A"/>
          </w:tcPr>
          <w:p>
            <w:r/>
            <w:r>
              <w:rPr>
                <w:rFonts w:ascii="Aptos" w:hAnsi="Aptos"/>
                <w:b/>
                <w:color w:val="FFFFFF"/>
                <w:sz w:val="17"/>
              </w:rPr>
              <w:t>Required action</w:t>
            </w:r>
          </w:p>
        </w:tc>
        <w:tc>
          <w:tcPr>
            <w:tcW w:type="dxa" w:w="1152"/>
            <w:vAlign w:val="center"/>
            <w:shd w:fill="18324A"/>
          </w:tcPr>
          <w:p>
            <w:r/>
            <w:r>
              <w:rPr>
                <w:rFonts w:ascii="Aptos" w:hAnsi="Aptos"/>
                <w:b/>
                <w:color w:val="FFFFFF"/>
                <w:sz w:val="17"/>
              </w:rPr>
              <w:t>Priority</w:t>
            </w:r>
          </w:p>
        </w:tc>
      </w:tr>
      <w:tr>
        <w:tc>
          <w:tcPr>
            <w:tcW w:type="dxa" w:w="1944"/>
            <w:vAlign w:val="center"/>
            <w:shd w:fill="FFFFFF"/>
          </w:tcPr>
          <w:p>
            <w:r/>
            <w:r>
              <w:rPr>
                <w:rFonts w:ascii="Aptos" w:hAnsi="Aptos"/>
                <w:b w:val="0"/>
                <w:sz w:val="17"/>
              </w:rPr>
              <w:t>Regulatory</w:t>
            </w:r>
          </w:p>
        </w:tc>
        <w:tc>
          <w:tcPr>
            <w:tcW w:type="dxa" w:w="7128"/>
            <w:vAlign w:val="center"/>
            <w:shd w:fill="FFFFFF"/>
          </w:tcPr>
          <w:p>
            <w:r/>
            <w:r>
              <w:rPr>
                <w:rFonts w:ascii="Aptos" w:hAnsi="Aptos"/>
                <w:b w:val="0"/>
                <w:sz w:val="17"/>
              </w:rPr>
              <w:t>Verify current India approval status, approved indications, dose, safety language, and change history.</w:t>
            </w:r>
          </w:p>
        </w:tc>
        <w:tc>
          <w:tcPr>
            <w:tcW w:type="dxa" w:w="1152"/>
            <w:vAlign w:val="center"/>
            <w:shd w:fill="FFFFFF"/>
          </w:tcPr>
          <w:p>
            <w:r/>
            <w:r>
              <w:rPr>
                <w:rFonts w:ascii="Aptos" w:hAnsi="Aptos"/>
                <w:b w:val="0"/>
                <w:sz w:val="17"/>
              </w:rPr>
              <w:t>Critical</w:t>
            </w:r>
          </w:p>
        </w:tc>
      </w:tr>
      <w:tr>
        <w:tc>
          <w:tcPr>
            <w:tcW w:type="dxa" w:w="1944"/>
            <w:vAlign w:val="center"/>
            <w:shd w:fill="F2F4F6"/>
          </w:tcPr>
          <w:p>
            <w:r/>
            <w:r>
              <w:rPr>
                <w:rFonts w:ascii="Aptos" w:hAnsi="Aptos"/>
                <w:b w:val="0"/>
                <w:sz w:val="17"/>
              </w:rPr>
              <w:t>Medical and PV</w:t>
            </w:r>
          </w:p>
        </w:tc>
        <w:tc>
          <w:tcPr>
            <w:tcW w:type="dxa" w:w="7128"/>
            <w:vAlign w:val="center"/>
            <w:shd w:fill="F2F4F6"/>
          </w:tcPr>
          <w:p>
            <w:r/>
            <w:r>
              <w:rPr>
                <w:rFonts w:ascii="Aptos" w:hAnsi="Aptos"/>
                <w:b w:val="0"/>
                <w:sz w:val="17"/>
              </w:rPr>
              <w:t>Complete evidence synthesis, local safety assessment, and risk-communication plan.</w:t>
            </w:r>
          </w:p>
        </w:tc>
        <w:tc>
          <w:tcPr>
            <w:tcW w:type="dxa" w:w="1152"/>
            <w:vAlign w:val="center"/>
            <w:shd w:fill="F2F4F6"/>
          </w:tcPr>
          <w:p>
            <w:r/>
            <w:r>
              <w:rPr>
                <w:rFonts w:ascii="Aptos" w:hAnsi="Aptos"/>
                <w:b w:val="0"/>
                <w:sz w:val="17"/>
              </w:rPr>
              <w:t>Critical</w:t>
            </w:r>
          </w:p>
        </w:tc>
      </w:tr>
      <w:tr>
        <w:tc>
          <w:tcPr>
            <w:tcW w:type="dxa" w:w="1944"/>
            <w:vAlign w:val="center"/>
            <w:shd w:fill="FFFFFF"/>
          </w:tcPr>
          <w:p>
            <w:r/>
            <w:r>
              <w:rPr>
                <w:rFonts w:ascii="Aptos" w:hAnsi="Aptos"/>
                <w:b w:val="0"/>
                <w:sz w:val="17"/>
              </w:rPr>
              <w:t>Patent and legal</w:t>
            </w:r>
          </w:p>
        </w:tc>
        <w:tc>
          <w:tcPr>
            <w:tcW w:type="dxa" w:w="7128"/>
            <w:vAlign w:val="center"/>
            <w:shd w:fill="FFFFFF"/>
          </w:tcPr>
          <w:p>
            <w:r/>
            <w:r>
              <w:rPr>
                <w:rFonts w:ascii="Aptos" w:hAnsi="Aptos"/>
                <w:b w:val="0"/>
                <w:sz w:val="17"/>
              </w:rPr>
              <w:t>Complete India patent landscape, exclusivity, FTO, litigation, and licensing assessment.</w:t>
            </w:r>
          </w:p>
        </w:tc>
        <w:tc>
          <w:tcPr>
            <w:tcW w:type="dxa" w:w="1152"/>
            <w:vAlign w:val="center"/>
            <w:shd w:fill="FFFFFF"/>
          </w:tcPr>
          <w:p>
            <w:r/>
            <w:r>
              <w:rPr>
                <w:rFonts w:ascii="Aptos" w:hAnsi="Aptos"/>
                <w:b w:val="0"/>
                <w:sz w:val="17"/>
              </w:rPr>
              <w:t>Critical</w:t>
            </w:r>
          </w:p>
        </w:tc>
      </w:tr>
      <w:tr>
        <w:tc>
          <w:tcPr>
            <w:tcW w:type="dxa" w:w="1944"/>
            <w:vAlign w:val="center"/>
            <w:shd w:fill="F2F4F6"/>
          </w:tcPr>
          <w:p>
            <w:r/>
            <w:r>
              <w:rPr>
                <w:rFonts w:ascii="Aptos" w:hAnsi="Aptos"/>
                <w:b w:val="0"/>
                <w:sz w:val="17"/>
              </w:rPr>
              <w:t>Commercial and market access</w:t>
            </w:r>
          </w:p>
        </w:tc>
        <w:tc>
          <w:tcPr>
            <w:tcW w:type="dxa" w:w="7128"/>
            <w:vAlign w:val="center"/>
            <w:shd w:fill="F2F4F6"/>
          </w:tcPr>
          <w:p>
            <w:r/>
            <w:r>
              <w:rPr>
                <w:rFonts w:ascii="Aptos" w:hAnsi="Aptos"/>
                <w:b w:val="0"/>
                <w:sz w:val="17"/>
              </w:rPr>
              <w:t>Validate market size, competitors, prices, affordability, channels, forecast, and portfolio fit.</w:t>
            </w:r>
          </w:p>
        </w:tc>
        <w:tc>
          <w:tcPr>
            <w:tcW w:type="dxa" w:w="1152"/>
            <w:vAlign w:val="center"/>
            <w:shd w:fill="F2F4F6"/>
          </w:tcPr>
          <w:p>
            <w:r/>
            <w:r>
              <w:rPr>
                <w:rFonts w:ascii="Aptos" w:hAnsi="Aptos"/>
                <w:b w:val="0"/>
                <w:sz w:val="17"/>
              </w:rPr>
              <w:t>Major</w:t>
            </w:r>
          </w:p>
        </w:tc>
      </w:tr>
      <w:tr>
        <w:tc>
          <w:tcPr>
            <w:tcW w:type="dxa" w:w="1944"/>
            <w:vAlign w:val="center"/>
            <w:shd w:fill="FFFFFF"/>
          </w:tcPr>
          <w:p>
            <w:r/>
            <w:r>
              <w:rPr>
                <w:rFonts w:ascii="Aptos" w:hAnsi="Aptos"/>
                <w:b w:val="0"/>
                <w:sz w:val="17"/>
              </w:rPr>
              <w:t>CMC and supply</w:t>
            </w:r>
          </w:p>
        </w:tc>
        <w:tc>
          <w:tcPr>
            <w:tcW w:type="dxa" w:w="7128"/>
            <w:vAlign w:val="center"/>
            <w:shd w:fill="FFFFFF"/>
          </w:tcPr>
          <w:p>
            <w:r/>
            <w:r>
              <w:rPr>
                <w:rFonts w:ascii="Aptos" w:hAnsi="Aptos"/>
                <w:b w:val="0"/>
                <w:sz w:val="17"/>
              </w:rPr>
              <w:t>Validate API source, cost, DMF, quality, capacity, stability, formulation, and launch feasibility.</w:t>
            </w:r>
          </w:p>
        </w:tc>
        <w:tc>
          <w:tcPr>
            <w:tcW w:type="dxa" w:w="1152"/>
            <w:vAlign w:val="center"/>
            <w:shd w:fill="FFFFFF"/>
          </w:tcPr>
          <w:p>
            <w:r/>
            <w:r>
              <w:rPr>
                <w:rFonts w:ascii="Aptos" w:hAnsi="Aptos"/>
                <w:b w:val="0"/>
                <w:sz w:val="17"/>
              </w:rPr>
              <w:t>Major</w:t>
            </w:r>
          </w:p>
        </w:tc>
      </w:tr>
      <w:tr>
        <w:tc>
          <w:tcPr>
            <w:tcW w:type="dxa" w:w="1944"/>
            <w:vAlign w:val="center"/>
            <w:shd w:fill="F2F4F6"/>
          </w:tcPr>
          <w:p>
            <w:r/>
            <w:r>
              <w:rPr>
                <w:rFonts w:ascii="Aptos" w:hAnsi="Aptos"/>
                <w:b w:val="0"/>
                <w:sz w:val="17"/>
              </w:rPr>
              <w:t>Quality</w:t>
            </w:r>
          </w:p>
        </w:tc>
        <w:tc>
          <w:tcPr>
            <w:tcW w:type="dxa" w:w="7128"/>
            <w:vAlign w:val="center"/>
            <w:shd w:fill="F2F4F6"/>
          </w:tcPr>
          <w:p>
            <w:r/>
            <w:r>
              <w:rPr>
                <w:rFonts w:ascii="Aptos" w:hAnsi="Aptos"/>
                <w:b w:val="0"/>
                <w:sz w:val="17"/>
              </w:rPr>
              <w:t>Confirm approved SOP, qualified reviewers, traceability, and controlled record requirements.</w:t>
            </w:r>
          </w:p>
        </w:tc>
        <w:tc>
          <w:tcPr>
            <w:tcW w:type="dxa" w:w="1152"/>
            <w:vAlign w:val="center"/>
            <w:shd w:fill="F2F4F6"/>
          </w:tcPr>
          <w:p>
            <w:r/>
            <w:r>
              <w:rPr>
                <w:rFonts w:ascii="Aptos" w:hAnsi="Aptos"/>
                <w:b w:val="0"/>
                <w:sz w:val="17"/>
              </w:rPr>
              <w:t>Major</w:t>
            </w:r>
          </w:p>
        </w:tc>
      </w:tr>
    </w:tbl>
    <w:p>
      <w:pPr>
        <w:spacing w:after="40"/>
      </w:pPr>
    </w:p>
    <w:p>
      <w:pPr>
        <w:pStyle w:val="Heading1"/>
        <w:keepNext/>
      </w:pPr>
      <w:r>
        <w:t>10. Preliminary Go/No-Go Interpretation</w:t>
      </w:r>
    </w:p>
    <w:p>
      <w:r>
        <w:rPr>
          <w:b/>
        </w:rPr>
        <w:t xml:space="preserve">Strong candidate - pursue differentiated portfolio diligence. </w:t>
      </w:r>
      <w:r>
        <w:t>Proceed to detailed commercial, patent/FTO, India-label, pricing, supply, and portfolio-fit diligence. The scientific value proposition is strong and supported by mature cardiovascular, heart-failure, and kidney evidence, but market crowding and class safety controls are material.</w:t>
      </w:r>
    </w:p>
    <w:p>
      <w:r>
        <w:rPr>
          <w:b/>
        </w:rPr>
        <w:t xml:space="preserve">Decision boundary: </w:t>
      </w:r>
      <w:r>
        <w:t>The numeric score does not override unresolved critical red flags. This output supports diligence planning only.</w:t>
      </w:r>
    </w:p>
    <w:p>
      <w:pPr>
        <w:pStyle w:val="Heading1"/>
        <w:keepNext/>
      </w:pPr>
      <w:r>
        <w:t>11. Source Register</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160"/>
            <w:vAlign w:val="center"/>
            <w:shd w:fill="18324A"/>
          </w:tcPr>
          <w:p>
            <w:r/>
            <w:r>
              <w:rPr>
                <w:rFonts w:ascii="Aptos" w:hAnsi="Aptos"/>
                <w:b/>
                <w:color w:val="FFFFFF"/>
                <w:sz w:val="17"/>
              </w:rPr>
              <w:t>Source</w:t>
            </w:r>
          </w:p>
        </w:tc>
        <w:tc>
          <w:tcPr>
            <w:tcW w:type="dxa" w:w="4752"/>
            <w:vAlign w:val="center"/>
            <w:shd w:fill="18324A"/>
          </w:tcPr>
          <w:p>
            <w:r/>
            <w:r>
              <w:rPr>
                <w:rFonts w:ascii="Aptos" w:hAnsi="Aptos"/>
                <w:b/>
                <w:color w:val="FFFFFF"/>
                <w:sz w:val="17"/>
              </w:rPr>
              <w:t>Title</w:t>
            </w:r>
          </w:p>
        </w:tc>
        <w:tc>
          <w:tcPr>
            <w:tcW w:type="dxa" w:w="3312"/>
            <w:vAlign w:val="center"/>
            <w:shd w:fill="18324A"/>
          </w:tcPr>
          <w:p>
            <w:r/>
            <w:r>
              <w:rPr>
                <w:rFonts w:ascii="Aptos" w:hAnsi="Aptos"/>
                <w:b/>
                <w:color w:val="FFFFFF"/>
                <w:sz w:val="17"/>
              </w:rPr>
              <w:t>URL</w:t>
            </w:r>
          </w:p>
        </w:tc>
      </w:tr>
      <w:tr>
        <w:tc>
          <w:tcPr>
            <w:tcW w:type="dxa" w:w="2160"/>
            <w:vAlign w:val="center"/>
            <w:shd w:fill="FFFFFF"/>
          </w:tcPr>
          <w:p>
            <w:r/>
            <w:r>
              <w:rPr>
                <w:rFonts w:ascii="Aptos" w:hAnsi="Aptos"/>
                <w:b w:val="0"/>
                <w:sz w:val="17"/>
              </w:rPr>
              <w:t>FDA</w:t>
            </w:r>
          </w:p>
        </w:tc>
        <w:tc>
          <w:tcPr>
            <w:tcW w:type="dxa" w:w="4752"/>
            <w:vAlign w:val="center"/>
            <w:shd w:fill="FFFFFF"/>
          </w:tcPr>
          <w:p>
            <w:r/>
            <w:r>
              <w:rPr>
                <w:rFonts w:ascii="Aptos" w:hAnsi="Aptos"/>
                <w:b w:val="0"/>
                <w:sz w:val="17"/>
              </w:rPr>
              <w:t>Jardiance prescribing information, revised October 2025</w:t>
            </w:r>
          </w:p>
        </w:tc>
        <w:tc>
          <w:tcPr>
            <w:tcW w:type="dxa" w:w="3312"/>
            <w:vAlign w:val="center"/>
            <w:shd w:fill="FFFFFF"/>
          </w:tcPr>
          <w:p>
            <w:r/>
            <w:r>
              <w:rPr>
                <w:rFonts w:ascii="Aptos" w:hAnsi="Aptos"/>
                <w:b w:val="0"/>
                <w:sz w:val="17"/>
              </w:rPr>
              <w:t>https://www.accessdata.fda.gov/drugsatfda_docs/label/2025/204629s063lbl.pdf</w:t>
            </w:r>
          </w:p>
        </w:tc>
      </w:tr>
      <w:tr>
        <w:tc>
          <w:tcPr>
            <w:tcW w:type="dxa" w:w="2160"/>
            <w:vAlign w:val="center"/>
            <w:shd w:fill="F2F4F6"/>
          </w:tcPr>
          <w:p>
            <w:r/>
            <w:r>
              <w:rPr>
                <w:rFonts w:ascii="Aptos" w:hAnsi="Aptos"/>
                <w:b w:val="0"/>
                <w:sz w:val="17"/>
              </w:rPr>
              <w:t>EMA</w:t>
            </w:r>
          </w:p>
        </w:tc>
        <w:tc>
          <w:tcPr>
            <w:tcW w:type="dxa" w:w="4752"/>
            <w:vAlign w:val="center"/>
            <w:shd w:fill="F2F4F6"/>
          </w:tcPr>
          <w:p>
            <w:r/>
            <w:r>
              <w:rPr>
                <w:rFonts w:ascii="Aptos" w:hAnsi="Aptos"/>
                <w:b w:val="0"/>
                <w:sz w:val="17"/>
              </w:rPr>
              <w:t>Jardiance EPAR</w:t>
            </w:r>
          </w:p>
        </w:tc>
        <w:tc>
          <w:tcPr>
            <w:tcW w:type="dxa" w:w="3312"/>
            <w:vAlign w:val="center"/>
            <w:shd w:fill="F2F4F6"/>
          </w:tcPr>
          <w:p>
            <w:r/>
            <w:r>
              <w:rPr>
                <w:rFonts w:ascii="Aptos" w:hAnsi="Aptos"/>
                <w:b w:val="0"/>
                <w:sz w:val="17"/>
              </w:rPr>
              <w:t>https://www.ema.europa.eu/en/medicines/human/EPAR/jardiance</w:t>
            </w:r>
          </w:p>
        </w:tc>
      </w:tr>
      <w:tr>
        <w:tc>
          <w:tcPr>
            <w:tcW w:type="dxa" w:w="2160"/>
            <w:vAlign w:val="center"/>
            <w:shd w:fill="FFFFFF"/>
          </w:tcPr>
          <w:p>
            <w:r/>
            <w:r>
              <w:rPr>
                <w:rFonts w:ascii="Aptos" w:hAnsi="Aptos"/>
                <w:b w:val="0"/>
                <w:sz w:val="17"/>
              </w:rPr>
              <w:t>PubMed PMID 26378978</w:t>
            </w:r>
          </w:p>
        </w:tc>
        <w:tc>
          <w:tcPr>
            <w:tcW w:type="dxa" w:w="4752"/>
            <w:vAlign w:val="center"/>
            <w:shd w:fill="FFFFFF"/>
          </w:tcPr>
          <w:p>
            <w:r/>
            <w:r>
              <w:rPr>
                <w:rFonts w:ascii="Aptos" w:hAnsi="Aptos"/>
                <w:b w:val="0"/>
                <w:sz w:val="17"/>
              </w:rPr>
              <w:t>Empagliflozin, Cardiovascular Outcomes, and Mortality in Type 2 Diabetes</w:t>
            </w:r>
          </w:p>
        </w:tc>
        <w:tc>
          <w:tcPr>
            <w:tcW w:type="dxa" w:w="3312"/>
            <w:vAlign w:val="center"/>
            <w:shd w:fill="FFFFFF"/>
          </w:tcPr>
          <w:p>
            <w:r/>
            <w:r>
              <w:rPr>
                <w:rFonts w:ascii="Aptos" w:hAnsi="Aptos"/>
                <w:b w:val="0"/>
                <w:sz w:val="17"/>
              </w:rPr>
              <w:t>https://pubmed.ncbi.nlm.nih.gov/?term=26378978</w:t>
            </w:r>
          </w:p>
        </w:tc>
      </w:tr>
      <w:tr>
        <w:tc>
          <w:tcPr>
            <w:tcW w:type="dxa" w:w="2160"/>
            <w:vAlign w:val="center"/>
            <w:shd w:fill="F2F4F6"/>
          </w:tcPr>
          <w:p>
            <w:r/>
            <w:r>
              <w:rPr>
                <w:rFonts w:ascii="Aptos" w:hAnsi="Aptos"/>
                <w:b w:val="0"/>
                <w:sz w:val="17"/>
              </w:rPr>
              <w:t>PubMed PMID 37529652</w:t>
            </w:r>
          </w:p>
        </w:tc>
        <w:tc>
          <w:tcPr>
            <w:tcW w:type="dxa" w:w="4752"/>
            <w:vAlign w:val="center"/>
            <w:shd w:fill="F2F4F6"/>
          </w:tcPr>
          <w:p>
            <w:r/>
            <w:r>
              <w:rPr>
                <w:rFonts w:ascii="Aptos" w:hAnsi="Aptos"/>
                <w:b w:val="0"/>
                <w:sz w:val="17"/>
              </w:rPr>
              <w:t>EMPA-KIDNEY evidence overview</w:t>
            </w:r>
          </w:p>
        </w:tc>
        <w:tc>
          <w:tcPr>
            <w:tcW w:type="dxa" w:w="3312"/>
            <w:vAlign w:val="center"/>
            <w:shd w:fill="F2F4F6"/>
          </w:tcPr>
          <w:p>
            <w:r/>
            <w:r>
              <w:rPr>
                <w:rFonts w:ascii="Aptos" w:hAnsi="Aptos"/>
                <w:b w:val="0"/>
                <w:sz w:val="17"/>
              </w:rPr>
              <w:t>https://pubmed.ncbi.nlm.nih.gov/37529652/</w:t>
            </w:r>
          </w:p>
        </w:tc>
      </w:tr>
      <w:tr>
        <w:tc>
          <w:tcPr>
            <w:tcW w:type="dxa" w:w="2160"/>
            <w:vAlign w:val="center"/>
            <w:shd w:fill="FFFFFF"/>
          </w:tcPr>
          <w:p>
            <w:r/>
            <w:r>
              <w:rPr>
                <w:rFonts w:ascii="Aptos" w:hAnsi="Aptos"/>
                <w:b w:val="0"/>
                <w:sz w:val="17"/>
              </w:rPr>
              <w:t>PubMed PMID 26819227</w:t>
            </w:r>
          </w:p>
        </w:tc>
        <w:tc>
          <w:tcPr>
            <w:tcW w:type="dxa" w:w="4752"/>
            <w:vAlign w:val="center"/>
            <w:shd w:fill="FFFFFF"/>
          </w:tcPr>
          <w:p>
            <w:r/>
            <w:r>
              <w:rPr>
                <w:rFonts w:ascii="Aptos" w:hAnsi="Aptos"/>
                <w:b w:val="0"/>
                <w:sz w:val="17"/>
              </w:rPr>
              <w:t>Heart failure outcomes in EMPA-REG OUTCOME</w:t>
            </w:r>
          </w:p>
        </w:tc>
        <w:tc>
          <w:tcPr>
            <w:tcW w:type="dxa" w:w="3312"/>
            <w:vAlign w:val="center"/>
            <w:shd w:fill="FFFFFF"/>
          </w:tcPr>
          <w:p>
            <w:r/>
            <w:r>
              <w:rPr>
                <w:rFonts w:ascii="Aptos" w:hAnsi="Aptos"/>
                <w:b w:val="0"/>
                <w:sz w:val="17"/>
              </w:rPr>
              <w:t>https://pubmed.ncbi.nlm.nih.gov/26819227/</w:t>
            </w:r>
          </w:p>
        </w:tc>
      </w:tr>
    </w:tbl>
    <w:p>
      <w:pPr>
        <w:spacing w:after="40"/>
      </w:pPr>
    </w:p>
    <w:p>
      <w:pPr>
        <w:pStyle w:val="Heading1"/>
        <w:keepNext/>
      </w:pPr>
      <w:r>
        <w:t>12. Qualification and Review Status</w:t>
      </w:r>
    </w:p>
    <w:tbl>
      <w:tblPr>
        <w:tblStyle w:val="TableGrid"/>
        <w:tblW w:type="auto" w:w="0"/>
        <w:jc w:val="center"/>
        <w:tblLayout w:type="fixed"/>
        <w:tblLook w:firstColumn="1" w:firstRow="1" w:lastColumn="0" w:lastRow="0" w:noHBand="0" w:noVBand="1" w:val="04A0"/>
      </w:tblPr>
      <w:tblGrid>
        <w:gridCol w:w="5040"/>
        <w:gridCol w:w="5040"/>
      </w:tblGrid>
      <w:tr>
        <w:tc>
          <w:tcPr>
            <w:tcW w:type="dxa" w:w="3168"/>
            <w:vAlign w:val="center"/>
            <w:shd w:fill="137C7B"/>
          </w:tcPr>
          <w:p>
            <w:r/>
            <w:r>
              <w:rPr>
                <w:rFonts w:ascii="Aptos" w:hAnsi="Aptos"/>
                <w:b/>
                <w:color w:val="FFFFFF"/>
                <w:sz w:val="17"/>
              </w:rPr>
              <w:t>Control</w:t>
            </w:r>
          </w:p>
        </w:tc>
        <w:tc>
          <w:tcPr>
            <w:tcW w:type="dxa" w:w="7056"/>
            <w:vAlign w:val="center"/>
            <w:shd w:fill="137C7B"/>
          </w:tcPr>
          <w:p>
            <w:r/>
            <w:r>
              <w:rPr>
                <w:rFonts w:ascii="Aptos" w:hAnsi="Aptos"/>
                <w:b/>
                <w:color w:val="FFFFFF"/>
                <w:sz w:val="17"/>
              </w:rPr>
              <w:t>Status</w:t>
            </w:r>
          </w:p>
        </w:tc>
      </w:tr>
      <w:tr>
        <w:tc>
          <w:tcPr>
            <w:tcW w:type="dxa" w:w="3168"/>
            <w:vAlign w:val="center"/>
            <w:shd w:fill="FFFFFF"/>
          </w:tcPr>
          <w:p>
            <w:r/>
            <w:r>
              <w:rPr>
                <w:rFonts w:ascii="Aptos" w:hAnsi="Aptos"/>
                <w:b w:val="0"/>
                <w:sz w:val="17"/>
              </w:rPr>
              <w:t>Business SOP consulted</w:t>
            </w:r>
          </w:p>
        </w:tc>
        <w:tc>
          <w:tcPr>
            <w:tcW w:type="dxa" w:w="7056"/>
            <w:vAlign w:val="center"/>
            <w:shd w:fill="FFFFFF"/>
          </w:tcPr>
          <w:p>
            <w:r/>
            <w:r>
              <w:rPr>
                <w:rFonts w:ascii="Aptos" w:hAnsi="Aptos"/>
                <w:b w:val="0"/>
                <w:sz w:val="17"/>
              </w:rPr>
              <w:t>Owner-supplied Product Appraisal SOP used as structural reference</w:t>
            </w:r>
          </w:p>
        </w:tc>
      </w:tr>
      <w:tr>
        <w:tc>
          <w:tcPr>
            <w:tcW w:type="dxa" w:w="3168"/>
            <w:vAlign w:val="center"/>
            <w:shd w:fill="F2F4F6"/>
          </w:tcPr>
          <w:p>
            <w:r/>
            <w:r>
              <w:rPr>
                <w:rFonts w:ascii="Aptos" w:hAnsi="Aptos"/>
                <w:b w:val="0"/>
                <w:sz w:val="17"/>
              </w:rPr>
              <w:t>Skill consulted</w:t>
            </w:r>
          </w:p>
        </w:tc>
        <w:tc>
          <w:tcPr>
            <w:tcW w:type="dxa" w:w="7056"/>
            <w:vAlign w:val="center"/>
            <w:shd w:fill="F2F4F6"/>
          </w:tcPr>
          <w:p>
            <w:r/>
            <w:r>
              <w:rPr>
                <w:rFonts w:ascii="Aptos" w:hAnsi="Aptos"/>
                <w:b w:val="0"/>
                <w:sz w:val="17"/>
              </w:rPr>
              <w:t>Owner-supplied Pharma Product Appraisal Skill Template used for scoring and content architecture</w:t>
            </w:r>
          </w:p>
        </w:tc>
      </w:tr>
      <w:tr>
        <w:tc>
          <w:tcPr>
            <w:tcW w:type="dxa" w:w="3168"/>
            <w:vAlign w:val="center"/>
            <w:shd w:fill="FFFFFF"/>
          </w:tcPr>
          <w:p>
            <w:r/>
            <w:r>
              <w:rPr>
                <w:rFonts w:ascii="Aptos" w:hAnsi="Aptos"/>
                <w:b w:val="0"/>
                <w:sz w:val="17"/>
              </w:rPr>
              <w:t>Evidence handling</w:t>
            </w:r>
          </w:p>
        </w:tc>
        <w:tc>
          <w:tcPr>
            <w:tcW w:type="dxa" w:w="7056"/>
            <w:vAlign w:val="center"/>
            <w:shd w:fill="FFFFFF"/>
          </w:tcPr>
          <w:p>
            <w:r/>
            <w:r>
              <w:rPr>
                <w:rFonts w:ascii="Aptos" w:hAnsi="Aptos"/>
                <w:b w:val="0"/>
                <w:sz w:val="17"/>
              </w:rPr>
              <w:t>Authoritative and peer-reviewed sources used; unavailable data explicitly marked</w:t>
            </w:r>
          </w:p>
        </w:tc>
      </w:tr>
      <w:tr>
        <w:tc>
          <w:tcPr>
            <w:tcW w:type="dxa" w:w="3168"/>
            <w:vAlign w:val="center"/>
            <w:shd w:fill="F2F4F6"/>
          </w:tcPr>
          <w:p>
            <w:r/>
            <w:r>
              <w:rPr>
                <w:rFonts w:ascii="Aptos" w:hAnsi="Aptos"/>
                <w:b w:val="0"/>
                <w:sz w:val="17"/>
              </w:rPr>
              <w:t>AI-generated content</w:t>
            </w:r>
          </w:p>
        </w:tc>
        <w:tc>
          <w:tcPr>
            <w:tcW w:type="dxa" w:w="7056"/>
            <w:vAlign w:val="center"/>
            <w:shd w:fill="F2F4F6"/>
          </w:tcPr>
          <w:p>
            <w:r/>
            <w:r>
              <w:rPr>
                <w:rFonts w:ascii="Aptos" w:hAnsi="Aptos"/>
                <w:b w:val="0"/>
                <w:sz w:val="17"/>
              </w:rPr>
              <w:t>Qualification draft requiring qualified human review</w:t>
            </w:r>
          </w:p>
        </w:tc>
      </w:tr>
      <w:tr>
        <w:tc>
          <w:tcPr>
            <w:tcW w:type="dxa" w:w="3168"/>
            <w:vAlign w:val="center"/>
            <w:shd w:fill="FFFFFF"/>
          </w:tcPr>
          <w:p>
            <w:r/>
            <w:r>
              <w:rPr>
                <w:rFonts w:ascii="Aptos" w:hAnsi="Aptos"/>
                <w:b w:val="0"/>
                <w:sz w:val="17"/>
              </w:rPr>
              <w:t>Internal approval</w:t>
            </w:r>
          </w:p>
        </w:tc>
        <w:tc>
          <w:tcPr>
            <w:tcW w:type="dxa" w:w="7056"/>
            <w:vAlign w:val="center"/>
            <w:shd w:fill="FFFFFF"/>
          </w:tcPr>
          <w:p>
            <w:r/>
            <w:r>
              <w:rPr>
                <w:rFonts w:ascii="Aptos" w:hAnsi="Aptos"/>
                <w:b w:val="0"/>
                <w:sz w:val="17"/>
              </w:rPr>
              <w:t>Pending qualification review</w:t>
            </w:r>
          </w:p>
        </w:tc>
      </w:tr>
      <w:tr>
        <w:tc>
          <w:tcPr>
            <w:tcW w:type="dxa" w:w="3168"/>
            <w:vAlign w:val="center"/>
            <w:shd w:fill="F2F4F6"/>
          </w:tcPr>
          <w:p>
            <w:r/>
            <w:r>
              <w:rPr>
                <w:rFonts w:ascii="Aptos" w:hAnsi="Aptos"/>
                <w:b w:val="0"/>
                <w:sz w:val="17"/>
              </w:rPr>
              <w:t>External use</w:t>
            </w:r>
          </w:p>
        </w:tc>
        <w:tc>
          <w:tcPr>
            <w:tcW w:type="dxa" w:w="7056"/>
            <w:vAlign w:val="center"/>
            <w:shd w:fill="F2F4F6"/>
          </w:tcPr>
          <w:p>
            <w:r/>
            <w:r>
              <w:rPr>
                <w:rFonts w:ascii="Aptos" w:hAnsi="Aptos"/>
                <w:b w:val="0"/>
                <w:sz w:val="17"/>
              </w:rPr>
              <w:t>Prohibited</w:t>
            </w:r>
          </w:p>
        </w:tc>
      </w:tr>
    </w:tbl>
    <w:p>
      <w:pPr>
        <w:spacing w:after="40"/>
      </w:pPr>
    </w:p>
    <w:sectPr w:rsidR="00FC693F" w:rsidRPr="0006063C" w:rsidSect="00034616">
      <w:footerReference w:type="default" r:id="rId9"/>
      <w:pgSz w:w="12240" w:h="15840"/>
      <w:pgMar w:top="1037"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A7882"/>
        <w:sz w:val="14"/>
      </w:rPr>
      <w:t>ClinCommand OS | Internal Qualification Output | Dr. Bhupesh Dewan, Mumbai, Maharashtra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8324A"/>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37C7B"/>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8324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832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