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37C7B"/>
          <w:sz w:val="26"/>
        </w:rPr>
        <w:t>CLINCOMMAND OS</w:t>
      </w:r>
    </w:p>
    <w:p>
      <w:pPr>
        <w:pStyle w:val="Title"/>
        <w:jc w:val="center"/>
      </w:pPr>
      <w:r>
        <w:t>Product Appraisal</w:t>
        <w:br/>
        <w:t>Fevipiprant</w:t>
      </w:r>
    </w:p>
    <w:p>
      <w:pPr>
        <w:jc w:val="center"/>
      </w:pPr>
      <w:r>
        <w:rPr>
          <w:i/>
          <w:color w:val="18324A"/>
          <w:sz w:val="24"/>
        </w:rPr>
        <w:t>Preliminary India Portfolio and Medical-Strategy Appraisal</w:t>
      </w:r>
    </w:p>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37C7B"/>
          </w:tcPr>
          <w:p>
            <w:r/>
            <w:r>
              <w:rPr>
                <w:rFonts w:ascii="Aptos" w:hAnsi="Aptos"/>
                <w:b/>
                <w:color w:val="FFFFFF"/>
                <w:sz w:val="17"/>
              </w:rPr>
              <w:t>Control Field</w:t>
            </w:r>
          </w:p>
        </w:tc>
        <w:tc>
          <w:tcPr>
            <w:tcW w:type="dxa" w:w="7632"/>
            <w:vAlign w:val="center"/>
            <w:shd w:fill="137C7B"/>
          </w:tcPr>
          <w:p>
            <w:r/>
            <w:r>
              <w:rPr>
                <w:rFonts w:ascii="Aptos" w:hAnsi="Aptos"/>
                <w:b/>
                <w:color w:val="FFFFFF"/>
                <w:sz w:val="17"/>
              </w:rPr>
              <w:t>Value</w:t>
            </w:r>
          </w:p>
        </w:tc>
      </w:tr>
      <w:tr>
        <w:tc>
          <w:tcPr>
            <w:tcW w:type="dxa" w:w="2592"/>
            <w:vAlign w:val="center"/>
            <w:shd w:fill="FFFFFF"/>
          </w:tcPr>
          <w:p>
            <w:r/>
            <w:r>
              <w:rPr>
                <w:rFonts w:ascii="Aptos" w:hAnsi="Aptos"/>
                <w:b w:val="0"/>
                <w:sz w:val="17"/>
              </w:rPr>
              <w:t>Qualification run</w:t>
            </w:r>
          </w:p>
        </w:tc>
        <w:tc>
          <w:tcPr>
            <w:tcW w:type="dxa" w:w="7632"/>
            <w:vAlign w:val="center"/>
            <w:shd w:fill="FFFFFF"/>
          </w:tcPr>
          <w:p>
            <w:r/>
            <w:r>
              <w:rPr>
                <w:rFonts w:ascii="Aptos" w:hAnsi="Aptos"/>
                <w:b w:val="0"/>
                <w:sz w:val="17"/>
              </w:rPr>
              <w:t>PA-Q3</w:t>
            </w:r>
          </w:p>
        </w:tc>
      </w:tr>
      <w:tr>
        <w:tc>
          <w:tcPr>
            <w:tcW w:type="dxa" w:w="2592"/>
            <w:vAlign w:val="center"/>
            <w:shd w:fill="F2F4F6"/>
          </w:tcPr>
          <w:p>
            <w:r/>
            <w:r>
              <w:rPr>
                <w:rFonts w:ascii="Aptos" w:hAnsi="Aptos"/>
                <w:b w:val="0"/>
                <w:sz w:val="17"/>
              </w:rPr>
              <w:t>Verified INN</w:t>
            </w:r>
          </w:p>
        </w:tc>
        <w:tc>
          <w:tcPr>
            <w:tcW w:type="dxa" w:w="7632"/>
            <w:vAlign w:val="center"/>
            <w:shd w:fill="F2F4F6"/>
          </w:tcPr>
          <w:p>
            <w:r/>
            <w:r>
              <w:rPr>
                <w:rFonts w:ascii="Aptos" w:hAnsi="Aptos"/>
                <w:b w:val="0"/>
                <w:sz w:val="17"/>
              </w:rPr>
              <w:t>Fevipiprant</w:t>
            </w:r>
          </w:p>
        </w:tc>
      </w:tr>
      <w:tr>
        <w:tc>
          <w:tcPr>
            <w:tcW w:type="dxa" w:w="2592"/>
            <w:vAlign w:val="center"/>
            <w:shd w:fill="FFFFFF"/>
          </w:tcPr>
          <w:p>
            <w:r/>
            <w:r>
              <w:rPr>
                <w:rFonts w:ascii="Aptos" w:hAnsi="Aptos"/>
                <w:b w:val="0"/>
                <w:sz w:val="17"/>
              </w:rPr>
              <w:t>Intended use</w:t>
            </w:r>
          </w:p>
        </w:tc>
        <w:tc>
          <w:tcPr>
            <w:tcW w:type="dxa" w:w="7632"/>
            <w:vAlign w:val="center"/>
            <w:shd w:fill="FFFFFF"/>
          </w:tcPr>
          <w:p>
            <w:r/>
            <w:r>
              <w:rPr>
                <w:rFonts w:ascii="Aptos" w:hAnsi="Aptos"/>
                <w:b w:val="0"/>
                <w:sz w:val="17"/>
              </w:rPr>
              <w:t>Internal preliminary portfolio and medical-strategy appraisal</w:t>
            </w:r>
          </w:p>
        </w:tc>
      </w:tr>
      <w:tr>
        <w:tc>
          <w:tcPr>
            <w:tcW w:type="dxa" w:w="2592"/>
            <w:vAlign w:val="center"/>
            <w:shd w:fill="F2F4F6"/>
          </w:tcPr>
          <w:p>
            <w:r/>
            <w:r>
              <w:rPr>
                <w:rFonts w:ascii="Aptos" w:hAnsi="Aptos"/>
                <w:b w:val="0"/>
                <w:sz w:val="17"/>
              </w:rPr>
              <w:t>Evidence cut-off</w:t>
            </w:r>
          </w:p>
        </w:tc>
        <w:tc>
          <w:tcPr>
            <w:tcW w:type="dxa" w:w="7632"/>
            <w:vAlign w:val="center"/>
            <w:shd w:fill="F2F4F6"/>
          </w:tcPr>
          <w:p>
            <w:r/>
            <w:r>
              <w:rPr>
                <w:rFonts w:ascii="Aptos" w:hAnsi="Aptos"/>
                <w:b w:val="0"/>
                <w:sz w:val="17"/>
              </w:rPr>
              <w:t>6 June 2026</w:t>
            </w:r>
          </w:p>
        </w:tc>
      </w:tr>
      <w:tr>
        <w:tc>
          <w:tcPr>
            <w:tcW w:type="dxa" w:w="2592"/>
            <w:vAlign w:val="center"/>
            <w:shd w:fill="FFFFFF"/>
          </w:tcPr>
          <w:p>
            <w:r/>
            <w:r>
              <w:rPr>
                <w:rFonts w:ascii="Aptos" w:hAnsi="Aptos"/>
                <w:b w:val="0"/>
                <w:sz w:val="17"/>
              </w:rPr>
              <w:t>Document status</w:t>
            </w:r>
          </w:p>
        </w:tc>
        <w:tc>
          <w:tcPr>
            <w:tcW w:type="dxa" w:w="7632"/>
            <w:vAlign w:val="center"/>
            <w:shd w:fill="FFFFFF"/>
          </w:tcPr>
          <w:p>
            <w:r/>
            <w:r>
              <w:rPr>
                <w:rFonts w:ascii="Aptos" w:hAnsi="Aptos"/>
                <w:b w:val="0"/>
                <w:sz w:val="17"/>
              </w:rPr>
              <w:t>Qualification draft - not approved for external use or final Go/No-Go decision</w:t>
            </w:r>
          </w:p>
        </w:tc>
      </w:tr>
      <w:tr>
        <w:tc>
          <w:tcPr>
            <w:tcW w:type="dxa" w:w="2592"/>
            <w:vAlign w:val="center"/>
            <w:shd w:fill="F2F4F6"/>
          </w:tcPr>
          <w:p>
            <w:r/>
            <w:r>
              <w:rPr>
                <w:rFonts w:ascii="Aptos" w:hAnsi="Aptos"/>
                <w:b w:val="0"/>
                <w:sz w:val="17"/>
              </w:rPr>
              <w:t>Owner</w:t>
            </w:r>
          </w:p>
        </w:tc>
        <w:tc>
          <w:tcPr>
            <w:tcW w:type="dxa" w:w="7632"/>
            <w:vAlign w:val="center"/>
            <w:shd w:fill="F2F4F6"/>
          </w:tcPr>
          <w:p>
            <w:r/>
            <w:r>
              <w:rPr>
                <w:rFonts w:ascii="Aptos" w:hAnsi="Aptos"/>
                <w:b w:val="0"/>
                <w:sz w:val="17"/>
              </w:rPr>
              <w:t>Dr. Bhupesh Dewan, Mumbai, Maharashtra, India</w:t>
            </w:r>
          </w:p>
        </w:tc>
      </w:tr>
    </w:tbl>
    <w:p>
      <w:pPr>
        <w:spacing w:after="40"/>
      </w:pPr>
    </w:p>
    <w:p>
      <w:pPr>
        <w:spacing w:before="400"/>
        <w:jc w:val="center"/>
      </w:pPr>
      <w:r>
        <w:rPr>
          <w:b/>
          <w:color w:val="A34A00"/>
        </w:rPr>
        <w:t>IMPORTANT LIMITATION</w:t>
        <w:br/>
      </w:r>
      <w:r>
        <w:rPr>
          <w:sz w:val="19"/>
        </w:rPr>
        <w:t>This appraisal is an architecture qualification output. Missing regulatory, patent, legal, pricing, market, CMC, API, supply, and company-strategy information is explicitly classified as data gaps and diligence gaps, not inferred.</w:t>
      </w:r>
    </w:p>
    <w:p>
      <w:r>
        <w:br w:type="page"/>
      </w:r>
    </w:p>
    <w:p>
      <w:pPr>
        <w:pStyle w:val="Heading1"/>
        <w:keepNext/>
      </w:pPr>
      <w:r>
        <w:t>1. Executive Decision Summary</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vAlign w:val="center"/>
            <w:shd w:fill="137C7B"/>
          </w:tcPr>
          <w:p>
            <w:r/>
            <w:r>
              <w:rPr>
                <w:rFonts w:ascii="Aptos" w:hAnsi="Aptos"/>
                <w:b/>
                <w:color w:val="FFFFFF"/>
                <w:sz w:val="17"/>
              </w:rPr>
              <w:t>Decision Item</w:t>
            </w:r>
          </w:p>
        </w:tc>
        <w:tc>
          <w:tcPr>
            <w:tcW w:type="dxa" w:w="7848"/>
            <w:vAlign w:val="center"/>
            <w:shd w:fill="137C7B"/>
          </w:tcPr>
          <w:p>
            <w:r/>
            <w:r>
              <w:rPr>
                <w:rFonts w:ascii="Aptos" w:hAnsi="Aptos"/>
                <w:b/>
                <w:color w:val="FFFFFF"/>
                <w:sz w:val="17"/>
              </w:rPr>
              <w:t>Assessment</w:t>
            </w:r>
          </w:p>
        </w:tc>
      </w:tr>
      <w:tr>
        <w:tc>
          <w:tcPr>
            <w:tcW w:type="dxa" w:w="2376"/>
            <w:vAlign w:val="center"/>
            <w:shd w:fill="FFFFFF"/>
          </w:tcPr>
          <w:p>
            <w:r/>
            <w:r>
              <w:rPr>
                <w:rFonts w:ascii="Aptos" w:hAnsi="Aptos"/>
                <w:b w:val="0"/>
                <w:sz w:val="17"/>
              </w:rPr>
              <w:t>Objective</w:t>
            </w:r>
          </w:p>
        </w:tc>
        <w:tc>
          <w:tcPr>
            <w:tcW w:type="dxa" w:w="7848"/>
            <w:vAlign w:val="center"/>
            <w:shd w:fill="FFFFFF"/>
          </w:tcPr>
          <w:p>
            <w:r/>
            <w:r>
              <w:rPr>
                <w:rFonts w:ascii="Aptos" w:hAnsi="Aptos"/>
                <w:b w:val="0"/>
                <w:sz w:val="17"/>
              </w:rPr>
              <w:t>Assess whether fevipiprant merits standalone development or licensing investment for asthma in the current evidence environment.</w:t>
            </w:r>
          </w:p>
        </w:tc>
      </w:tr>
      <w:tr>
        <w:tc>
          <w:tcPr>
            <w:tcW w:type="dxa" w:w="2376"/>
            <w:vAlign w:val="center"/>
            <w:shd w:fill="F2F4F6"/>
          </w:tcPr>
          <w:p>
            <w:r/>
            <w:r>
              <w:rPr>
                <w:rFonts w:ascii="Aptos" w:hAnsi="Aptos"/>
                <w:b w:val="0"/>
                <w:sz w:val="17"/>
              </w:rPr>
              <w:t>Preliminary status</w:t>
            </w:r>
          </w:p>
        </w:tc>
        <w:tc>
          <w:tcPr>
            <w:tcW w:type="dxa" w:w="7848"/>
            <w:vAlign w:val="center"/>
            <w:shd w:fill="F2F4F6"/>
          </w:tcPr>
          <w:p>
            <w:r/>
            <w:r>
              <w:rPr>
                <w:rFonts w:ascii="Aptos" w:hAnsi="Aptos"/>
                <w:b w:val="0"/>
                <w:sz w:val="17"/>
              </w:rPr>
              <w:t>No-Go - current evidence does not support independent development</w:t>
            </w:r>
          </w:p>
        </w:tc>
      </w:tr>
      <w:tr>
        <w:tc>
          <w:tcPr>
            <w:tcW w:type="dxa" w:w="2376"/>
            <w:vAlign w:val="center"/>
            <w:shd w:fill="FFFFFF"/>
          </w:tcPr>
          <w:p>
            <w:r/>
            <w:r>
              <w:rPr>
                <w:rFonts w:ascii="Aptos" w:hAnsi="Aptos"/>
                <w:b w:val="0"/>
                <w:sz w:val="17"/>
              </w:rPr>
              <w:t>Recommendation</w:t>
            </w:r>
          </w:p>
        </w:tc>
        <w:tc>
          <w:tcPr>
            <w:tcW w:type="dxa" w:w="7848"/>
            <w:vAlign w:val="center"/>
            <w:shd w:fill="FFFFFF"/>
          </w:tcPr>
          <w:p>
            <w:r/>
            <w:r>
              <w:rPr>
                <w:rFonts w:ascii="Aptos" w:hAnsi="Aptos"/>
                <w:b w:val="0"/>
                <w:sz w:val="17"/>
              </w:rPr>
              <w:t>Do not allocate development capital to a standalone fevipiprant launch. Multiple phase III failures, official discontinuation of asthma development, and an unattractive risk-adjusted return profile argue against internal progression. Revisit only if a new proprietary package, partnering rights, or a clearly superior subgroup strategy emerges.</w:t>
            </w:r>
          </w:p>
        </w:tc>
      </w:tr>
      <w:tr>
        <w:tc>
          <w:tcPr>
            <w:tcW w:type="dxa" w:w="2376"/>
            <w:vAlign w:val="center"/>
            <w:shd w:fill="F2F4F6"/>
          </w:tcPr>
          <w:p>
            <w:r/>
            <w:r>
              <w:rPr>
                <w:rFonts w:ascii="Aptos" w:hAnsi="Aptos"/>
                <w:b w:val="0"/>
                <w:sz w:val="17"/>
              </w:rPr>
              <w:t>Identity/control note</w:t>
            </w:r>
          </w:p>
        </w:tc>
        <w:tc>
          <w:tcPr>
            <w:tcW w:type="dxa" w:w="7848"/>
            <w:vAlign w:val="center"/>
            <w:shd w:fill="F2F4F6"/>
          </w:tcPr>
          <w:p>
            <w:r/>
            <w:r>
              <w:rPr>
                <w:rFonts w:ascii="Aptos" w:hAnsi="Aptos"/>
                <w:b w:val="0"/>
                <w:sz w:val="17"/>
              </w:rPr>
              <w:t>Identity is verified, but commercial viability is not. The molecule remains an investigational/abandoned asthma candidate rather than a market-ready asset.</w:t>
            </w:r>
          </w:p>
        </w:tc>
      </w:tr>
    </w:tbl>
    <w:p>
      <w:pPr>
        <w:spacing w:after="40"/>
      </w:pPr>
    </w:p>
    <w:p>
      <w:pPr>
        <w:pStyle w:val="Heading1"/>
        <w:keepNext/>
      </w:pPr>
      <w:r>
        <w:t>2. Product Identification and Assessment Scope</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8324A"/>
          </w:tcPr>
          <w:p>
            <w:r/>
            <w:r>
              <w:rPr>
                <w:rFonts w:ascii="Aptos" w:hAnsi="Aptos"/>
                <w:b/>
                <w:color w:val="FFFFFF"/>
                <w:sz w:val="17"/>
              </w:rPr>
              <w:t>Field</w:t>
            </w:r>
          </w:p>
        </w:tc>
        <w:tc>
          <w:tcPr>
            <w:tcW w:type="dxa" w:w="7632"/>
            <w:vAlign w:val="center"/>
            <w:shd w:fill="18324A"/>
          </w:tcPr>
          <w:p>
            <w:r/>
            <w:r>
              <w:rPr>
                <w:rFonts w:ascii="Aptos" w:hAnsi="Aptos"/>
                <w:b/>
                <w:color w:val="FFFFFF"/>
                <w:sz w:val="17"/>
              </w:rPr>
              <w:t>Verified or Qualified Finding</w:t>
            </w:r>
          </w:p>
        </w:tc>
      </w:tr>
      <w:tr>
        <w:tc>
          <w:tcPr>
            <w:tcW w:type="dxa" w:w="2592"/>
            <w:vAlign w:val="center"/>
            <w:shd w:fill="FFFFFF"/>
          </w:tcPr>
          <w:p>
            <w:r/>
            <w:r>
              <w:rPr>
                <w:rFonts w:ascii="Aptos" w:hAnsi="Aptos"/>
                <w:b w:val="0"/>
                <w:sz w:val="17"/>
              </w:rPr>
              <w:t>Verified INN</w:t>
            </w:r>
          </w:p>
        </w:tc>
        <w:tc>
          <w:tcPr>
            <w:tcW w:type="dxa" w:w="7632"/>
            <w:vAlign w:val="center"/>
            <w:shd w:fill="FFFFFF"/>
          </w:tcPr>
          <w:p>
            <w:r/>
            <w:r>
              <w:rPr>
                <w:rFonts w:ascii="Aptos" w:hAnsi="Aptos"/>
                <w:b w:val="0"/>
                <w:sz w:val="17"/>
              </w:rPr>
              <w:t>Fevipiprant</w:t>
            </w:r>
          </w:p>
        </w:tc>
      </w:tr>
      <w:tr>
        <w:tc>
          <w:tcPr>
            <w:tcW w:type="dxa" w:w="2592"/>
            <w:vAlign w:val="center"/>
            <w:shd w:fill="F2F4F6"/>
          </w:tcPr>
          <w:p>
            <w:r/>
            <w:r>
              <w:rPr>
                <w:rFonts w:ascii="Aptos" w:hAnsi="Aptos"/>
                <w:b w:val="0"/>
                <w:sz w:val="17"/>
              </w:rPr>
              <w:t>Class</w:t>
            </w:r>
          </w:p>
        </w:tc>
        <w:tc>
          <w:tcPr>
            <w:tcW w:type="dxa" w:w="7632"/>
            <w:vAlign w:val="center"/>
            <w:shd w:fill="F2F4F6"/>
          </w:tcPr>
          <w:p>
            <w:r/>
            <w:r>
              <w:rPr>
                <w:rFonts w:ascii="Aptos" w:hAnsi="Aptos"/>
                <w:b w:val="0"/>
                <w:sz w:val="17"/>
              </w:rPr>
              <w:t>Oral DP2/CRTh2 receptor antagonist</w:t>
            </w:r>
          </w:p>
        </w:tc>
      </w:tr>
      <w:tr>
        <w:tc>
          <w:tcPr>
            <w:tcW w:type="dxa" w:w="2592"/>
            <w:vAlign w:val="center"/>
            <w:shd w:fill="FFFFFF"/>
          </w:tcPr>
          <w:p>
            <w:r/>
            <w:r>
              <w:rPr>
                <w:rFonts w:ascii="Aptos" w:hAnsi="Aptos"/>
                <w:b w:val="0"/>
                <w:sz w:val="17"/>
              </w:rPr>
              <w:t>Core differentiation</w:t>
            </w:r>
          </w:p>
        </w:tc>
        <w:tc>
          <w:tcPr>
            <w:tcW w:type="dxa" w:w="7632"/>
            <w:vAlign w:val="center"/>
            <w:shd w:fill="FFFFFF"/>
          </w:tcPr>
          <w:p>
            <w:r/>
            <w:r>
              <w:rPr>
                <w:rFonts w:ascii="Aptos" w:hAnsi="Aptos"/>
                <w:b w:val="0"/>
                <w:sz w:val="17"/>
              </w:rPr>
              <w:t>Mechanism-based anti-inflammatory oral therapy for asthma</w:t>
            </w:r>
          </w:p>
        </w:tc>
      </w:tr>
      <w:tr>
        <w:tc>
          <w:tcPr>
            <w:tcW w:type="dxa" w:w="2592"/>
            <w:vAlign w:val="center"/>
            <w:shd w:fill="F2F4F6"/>
          </w:tcPr>
          <w:p>
            <w:r/>
            <w:r>
              <w:rPr>
                <w:rFonts w:ascii="Aptos" w:hAnsi="Aptos"/>
                <w:b w:val="0"/>
                <w:sz w:val="17"/>
              </w:rPr>
              <w:t>Verified development context</w:t>
            </w:r>
          </w:p>
        </w:tc>
        <w:tc>
          <w:tcPr>
            <w:tcW w:type="dxa" w:w="7632"/>
            <w:vAlign w:val="center"/>
            <w:shd w:fill="F2F4F6"/>
          </w:tcPr>
          <w:p>
            <w:r/>
            <w:r>
              <w:rPr>
                <w:rFonts w:ascii="Aptos" w:hAnsi="Aptos"/>
                <w:b w:val="0"/>
                <w:sz w:val="17"/>
              </w:rPr>
              <w:t>Novartis announced that pooled LUSTER Phase III results did not support further asthma development in December 2019</w:t>
            </w:r>
          </w:p>
        </w:tc>
      </w:tr>
      <w:tr>
        <w:tc>
          <w:tcPr>
            <w:tcW w:type="dxa" w:w="2592"/>
            <w:vAlign w:val="center"/>
            <w:shd w:fill="FFFFFF"/>
          </w:tcPr>
          <w:p>
            <w:r/>
            <w:r>
              <w:rPr>
                <w:rFonts w:ascii="Aptos" w:hAnsi="Aptos"/>
                <w:b w:val="0"/>
                <w:sz w:val="17"/>
              </w:rPr>
              <w:t>India evidence context</w:t>
            </w:r>
          </w:p>
        </w:tc>
        <w:tc>
          <w:tcPr>
            <w:tcW w:type="dxa" w:w="7632"/>
            <w:vAlign w:val="center"/>
            <w:shd w:fill="FFFFFF"/>
          </w:tcPr>
          <w:p>
            <w:r/>
            <w:r>
              <w:rPr>
                <w:rFonts w:ascii="Aptos" w:hAnsi="Aptos"/>
                <w:b w:val="0"/>
                <w:sz w:val="17"/>
              </w:rPr>
              <w:t>No verified Indian approval or commercial launch position was established in this run</w:t>
            </w:r>
          </w:p>
        </w:tc>
      </w:tr>
      <w:tr>
        <w:tc>
          <w:tcPr>
            <w:tcW w:type="dxa" w:w="2592"/>
            <w:vAlign w:val="center"/>
            <w:shd w:fill="F2F4F6"/>
          </w:tcPr>
          <w:p>
            <w:r/>
            <w:r>
              <w:rPr>
                <w:rFonts w:ascii="Aptos" w:hAnsi="Aptos"/>
                <w:b w:val="0"/>
                <w:sz w:val="17"/>
              </w:rPr>
              <w:t>Assessment geography</w:t>
            </w:r>
          </w:p>
        </w:tc>
        <w:tc>
          <w:tcPr>
            <w:tcW w:type="dxa" w:w="7632"/>
            <w:vAlign w:val="center"/>
            <w:shd w:fill="F2F4F6"/>
          </w:tcPr>
          <w:p>
            <w:r/>
            <w:r>
              <w:rPr>
                <w:rFonts w:ascii="Aptos" w:hAnsi="Aptos"/>
                <w:b w:val="0"/>
                <w:sz w:val="17"/>
              </w:rPr>
              <w:t>India</w:t>
            </w:r>
          </w:p>
        </w:tc>
      </w:tr>
    </w:tbl>
    <w:p>
      <w:pPr>
        <w:spacing w:after="40"/>
      </w:pPr>
    </w:p>
    <w:p>
      <w:pPr>
        <w:pStyle w:val="Heading1"/>
        <w:keepNext/>
      </w:pPr>
      <w:r>
        <w:t>3. Scientific and Strategic Synopsis</w:t>
      </w:r>
    </w:p>
    <w:p>
      <w:r>
        <w:rPr>
          <w:b/>
        </w:rPr>
        <w:t xml:space="preserve">Appraisal interpretation. </w:t>
      </w:r>
      <w:r>
        <w:t>Empagliflozin has a mature, high-quality evidence platform across diabetes, cardiovascular risk, heart failure, and chronic kidney disease. The principal strategic question is not whether the molecule has clinical value, but whether the company can create a differentiated, compliant, affordable, and operationally credible portfolio proposition in a crowded market.</w:t>
      </w:r>
    </w:p>
    <w:p>
      <w:pPr>
        <w:pStyle w:val="Heading1"/>
        <w:keepNext/>
      </w:pPr>
      <w:r>
        <w:t>4. SWOT Assessment</w:t>
      </w: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Strengths</w:t>
            </w:r>
          </w:p>
        </w:tc>
        <w:tc>
          <w:tcPr>
            <w:tcW w:type="dxa" w:w="5112"/>
            <w:vAlign w:val="center"/>
            <w:shd w:fill="137C7B"/>
          </w:tcPr>
          <w:p>
            <w:r/>
            <w:r>
              <w:rPr>
                <w:rFonts w:ascii="Aptos" w:hAnsi="Aptos"/>
                <w:b/>
                <w:color w:val="FFFFFF"/>
                <w:sz w:val="17"/>
              </w:rPr>
              <w:t>Weaknesses</w:t>
            </w:r>
          </w:p>
        </w:tc>
      </w:tr>
      <w:tr>
        <w:tc>
          <w:tcPr>
            <w:tcW w:type="dxa" w:w="5112"/>
            <w:vAlign w:val="center"/>
            <w:shd w:fill="FFFFFF"/>
          </w:tcPr>
          <w:p>
            <w:r/>
            <w:r>
              <w:rPr>
                <w:rFonts w:ascii="Aptos" w:hAnsi="Aptos"/>
                <w:b w:val="0"/>
                <w:sz w:val="17"/>
              </w:rPr>
              <w:t>Mechanistic rationale and oral dosing convenience were scientifically interesting.</w:t>
              <w:br/>
              <w:t>Earlier phase data created a credible hypothesis for anti-inflammatory benefit.</w:t>
              <w:br/>
              <w:t>Asthma remains a large unmet-need market, so any true differentiator would have had strategic appeal.</w:t>
            </w:r>
          </w:p>
        </w:tc>
        <w:tc>
          <w:tcPr>
            <w:tcW w:type="dxa" w:w="5112"/>
            <w:vAlign w:val="center"/>
            <w:shd w:fill="FFFFFF"/>
          </w:tcPr>
          <w:p>
            <w:r/>
            <w:r>
              <w:rPr>
                <w:rFonts w:ascii="Aptos" w:hAnsi="Aptos"/>
                <w:b w:val="0"/>
                <w:sz w:val="17"/>
              </w:rPr>
              <w:t>Pivotal phase III evidence failed to support further asthma development.</w:t>
              <w:br/>
              <w:t>The program was discontinued by the sponsor in 2019.</w:t>
              <w:br/>
              <w:t>No approved-market label or India launch package was established.</w:t>
              <w:br/>
              <w:t>Risk-adjusted commercial return is weak relative to the remaining development burden.</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37C7B"/>
          </w:tcPr>
          <w:p>
            <w:r/>
            <w:r>
              <w:rPr>
                <w:rFonts w:ascii="Aptos" w:hAnsi="Aptos"/>
                <w:b/>
                <w:color w:val="FFFFFF"/>
                <w:sz w:val="17"/>
              </w:rPr>
              <w:t>Opportunities</w:t>
            </w:r>
          </w:p>
        </w:tc>
        <w:tc>
          <w:tcPr>
            <w:tcW w:type="dxa" w:w="5112"/>
            <w:vAlign w:val="center"/>
            <w:shd w:fill="137C7B"/>
          </w:tcPr>
          <w:p>
            <w:r/>
            <w:r>
              <w:rPr>
                <w:rFonts w:ascii="Aptos" w:hAnsi="Aptos"/>
                <w:b/>
                <w:color w:val="FFFFFF"/>
                <w:sz w:val="17"/>
              </w:rPr>
              <w:t>Threats</w:t>
            </w:r>
          </w:p>
        </w:tc>
      </w:tr>
      <w:tr>
        <w:tc>
          <w:tcPr>
            <w:tcW w:type="dxa" w:w="5112"/>
            <w:vAlign w:val="center"/>
            <w:shd w:fill="FFFFFF"/>
          </w:tcPr>
          <w:p>
            <w:r/>
            <w:r>
              <w:rPr>
                <w:rFonts w:ascii="Aptos" w:hAnsi="Aptos"/>
                <w:b w:val="0"/>
                <w:sz w:val="17"/>
              </w:rPr>
              <w:t>Only a highly differentiated biomarker or partnership-led rescue strategy would justify reconsideration.</w:t>
              <w:br/>
              <w:t>A post-hoc scientific review could still inform class learning and publication intelligence.</w:t>
              <w:br/>
              <w:t>The molecule may remain relevant as a negative-development case for portfolio discipline.</w:t>
            </w:r>
          </w:p>
        </w:tc>
        <w:tc>
          <w:tcPr>
            <w:tcW w:type="dxa" w:w="5112"/>
            <w:vAlign w:val="center"/>
            <w:shd w:fill="FFFFFF"/>
          </w:tcPr>
          <w:p>
            <w:r/>
            <w:r>
              <w:rPr>
                <w:rFonts w:ascii="Aptos" w:hAnsi="Aptos"/>
                <w:b w:val="0"/>
                <w:sz w:val="17"/>
              </w:rPr>
              <w:t>Definitive late-stage failure risk has already materialized.</w:t>
              <w:br/>
              <w:t>Competitive asthma therapy has moved toward established biologics, inhaled combinations, and better-validated pathways.</w:t>
              <w:br/>
              <w:t>Development capital spent here would likely displace better-return opportunities.</w:t>
              <w:br/>
              <w:t>Any future re-entry would require a materially new evidence package, not incremental optimism.</w:t>
            </w:r>
          </w:p>
        </w:tc>
      </w:tr>
    </w:tbl>
    <w:p>
      <w:pPr>
        <w:spacing w:after="40"/>
      </w:pPr>
    </w:p>
    <w:p>
      <w:pPr>
        <w:pStyle w:val="Heading1"/>
        <w:keepNext/>
      </w:pPr>
      <w:r>
        <w:t>5. Evidence Landscape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16"/>
            <w:vAlign w:val="center"/>
            <w:shd w:fill="18324A"/>
          </w:tcPr>
          <w:p>
            <w:r/>
            <w:r>
              <w:rPr>
                <w:rFonts w:ascii="Aptos" w:hAnsi="Aptos"/>
                <w:b/>
                <w:color w:val="FFFFFF"/>
                <w:sz w:val="17"/>
              </w:rPr>
              <w:t>Evidence</w:t>
            </w:r>
          </w:p>
        </w:tc>
        <w:tc>
          <w:tcPr>
            <w:tcW w:type="dxa" w:w="4608"/>
            <w:vAlign w:val="center"/>
            <w:shd w:fill="18324A"/>
          </w:tcPr>
          <w:p>
            <w:r/>
            <w:r>
              <w:rPr>
                <w:rFonts w:ascii="Aptos" w:hAnsi="Aptos"/>
                <w:b/>
                <w:color w:val="FFFFFF"/>
                <w:sz w:val="17"/>
              </w:rPr>
              <w:t>Relevance</w:t>
            </w:r>
          </w:p>
        </w:tc>
        <w:tc>
          <w:tcPr>
            <w:tcW w:type="dxa" w:w="2376"/>
            <w:vAlign w:val="center"/>
            <w:shd w:fill="18324A"/>
          </w:tcPr>
          <w:p>
            <w:r/>
            <w:r>
              <w:rPr>
                <w:rFonts w:ascii="Aptos" w:hAnsi="Aptos"/>
                <w:b/>
                <w:color w:val="FFFFFF"/>
                <w:sz w:val="17"/>
              </w:rPr>
              <w:t>Source class</w:t>
            </w:r>
          </w:p>
        </w:tc>
        <w:tc>
          <w:tcPr>
            <w:tcW w:type="dxa" w:w="1224"/>
            <w:vAlign w:val="center"/>
            <w:shd w:fill="18324A"/>
          </w:tcPr>
          <w:p>
            <w:r/>
            <w:r>
              <w:rPr>
                <w:rFonts w:ascii="Aptos" w:hAnsi="Aptos"/>
                <w:b/>
                <w:color w:val="FFFFFF"/>
                <w:sz w:val="17"/>
              </w:rPr>
              <w:t>Confidence</w:t>
            </w:r>
          </w:p>
        </w:tc>
      </w:tr>
      <w:tr>
        <w:tc>
          <w:tcPr>
            <w:tcW w:type="dxa" w:w="2016"/>
            <w:vAlign w:val="center"/>
            <w:shd w:fill="FFFFFF"/>
          </w:tcPr>
          <w:p>
            <w:r/>
            <w:r>
              <w:rPr>
                <w:rFonts w:ascii="Aptos" w:hAnsi="Aptos"/>
                <w:b w:val="0"/>
                <w:sz w:val="17"/>
              </w:rPr>
              <w:t>Novartis media release, Dec 2019</w:t>
            </w:r>
          </w:p>
        </w:tc>
        <w:tc>
          <w:tcPr>
            <w:tcW w:type="dxa" w:w="4608"/>
            <w:vAlign w:val="center"/>
            <w:shd w:fill="FFFFFF"/>
          </w:tcPr>
          <w:p>
            <w:r/>
            <w:r>
              <w:rPr>
                <w:rFonts w:ascii="Aptos" w:hAnsi="Aptos"/>
                <w:b w:val="0"/>
                <w:sz w:val="17"/>
              </w:rPr>
              <w:t>Topline LUSTER Phase III results did not support further development of fevipiprant in asthma.</w:t>
            </w:r>
          </w:p>
        </w:tc>
        <w:tc>
          <w:tcPr>
            <w:tcW w:type="dxa" w:w="2376"/>
            <w:vAlign w:val="center"/>
            <w:shd w:fill="FFFFFF"/>
          </w:tcPr>
          <w:p>
            <w:r/>
            <w:r>
              <w:rPr>
                <w:rFonts w:ascii="Aptos" w:hAnsi="Aptos"/>
                <w:b w:val="0"/>
                <w:sz w:val="17"/>
              </w:rPr>
              <w:t>Official sponsor discontinuation notice</w:t>
            </w:r>
          </w:p>
        </w:tc>
        <w:tc>
          <w:tcPr>
            <w:tcW w:type="dxa" w:w="1224"/>
            <w:vAlign w:val="center"/>
            <w:shd w:fill="FFFFFF"/>
          </w:tcPr>
          <w:p>
            <w:r/>
            <w:r>
              <w:rPr>
                <w:rFonts w:ascii="Aptos" w:hAnsi="Aptos"/>
                <w:b w:val="0"/>
                <w:sz w:val="17"/>
              </w:rPr>
              <w:t>High</w:t>
            </w:r>
          </w:p>
        </w:tc>
      </w:tr>
      <w:tr>
        <w:tc>
          <w:tcPr>
            <w:tcW w:type="dxa" w:w="2016"/>
            <w:vAlign w:val="center"/>
            <w:shd w:fill="F2F4F6"/>
          </w:tcPr>
          <w:p>
            <w:r/>
            <w:r>
              <w:rPr>
                <w:rFonts w:ascii="Aptos" w:hAnsi="Aptos"/>
                <w:b w:val="0"/>
                <w:sz w:val="17"/>
              </w:rPr>
              <w:t>ZEAL-1 and ZEAL-2</w:t>
            </w:r>
          </w:p>
        </w:tc>
        <w:tc>
          <w:tcPr>
            <w:tcW w:type="dxa" w:w="4608"/>
            <w:vAlign w:val="center"/>
            <w:shd w:fill="F2F4F6"/>
          </w:tcPr>
          <w:p>
            <w:r/>
            <w:r>
              <w:rPr>
                <w:rFonts w:ascii="Aptos" w:hAnsi="Aptos"/>
                <w:b w:val="0"/>
                <w:sz w:val="17"/>
              </w:rPr>
              <w:t>Two replicate phase III randomised placebo-controlled trials in uncontrolled asthma.</w:t>
            </w:r>
          </w:p>
        </w:tc>
        <w:tc>
          <w:tcPr>
            <w:tcW w:type="dxa" w:w="2376"/>
            <w:vAlign w:val="center"/>
            <w:shd w:fill="F2F4F6"/>
          </w:tcPr>
          <w:p>
            <w:r/>
            <w:r>
              <w:rPr>
                <w:rFonts w:ascii="Aptos" w:hAnsi="Aptos"/>
                <w:b w:val="0"/>
                <w:sz w:val="17"/>
              </w:rPr>
              <w:t>Peer-reviewed pivotal failure package</w:t>
            </w:r>
          </w:p>
        </w:tc>
        <w:tc>
          <w:tcPr>
            <w:tcW w:type="dxa" w:w="1224"/>
            <w:vAlign w:val="center"/>
            <w:shd w:fill="F2F4F6"/>
          </w:tcPr>
          <w:p>
            <w:r/>
            <w:r>
              <w:rPr>
                <w:rFonts w:ascii="Aptos" w:hAnsi="Aptos"/>
                <w:b w:val="0"/>
                <w:sz w:val="17"/>
              </w:rPr>
              <w:t>High</w:t>
            </w:r>
          </w:p>
        </w:tc>
      </w:tr>
      <w:tr>
        <w:tc>
          <w:tcPr>
            <w:tcW w:type="dxa" w:w="2016"/>
            <w:vAlign w:val="center"/>
            <w:shd w:fill="FFFFFF"/>
          </w:tcPr>
          <w:p>
            <w:r/>
            <w:r>
              <w:rPr>
                <w:rFonts w:ascii="Aptos" w:hAnsi="Aptos"/>
                <w:b w:val="0"/>
                <w:sz w:val="17"/>
              </w:rPr>
              <w:t>SPIRIT long-term study</w:t>
            </w:r>
          </w:p>
        </w:tc>
        <w:tc>
          <w:tcPr>
            <w:tcW w:type="dxa" w:w="4608"/>
            <w:vAlign w:val="center"/>
            <w:shd w:fill="FFFFFF"/>
          </w:tcPr>
          <w:p>
            <w:r/>
            <w:r>
              <w:rPr>
                <w:rFonts w:ascii="Aptos" w:hAnsi="Aptos"/>
                <w:b w:val="0"/>
                <w:sz w:val="17"/>
              </w:rPr>
              <w:t>Exploratory long-term safety and efficacy evaluation after earlier development stages.</w:t>
            </w:r>
          </w:p>
        </w:tc>
        <w:tc>
          <w:tcPr>
            <w:tcW w:type="dxa" w:w="2376"/>
            <w:vAlign w:val="center"/>
            <w:shd w:fill="FFFFFF"/>
          </w:tcPr>
          <w:p>
            <w:r/>
            <w:r>
              <w:rPr>
                <w:rFonts w:ascii="Aptos" w:hAnsi="Aptos"/>
                <w:b w:val="0"/>
                <w:sz w:val="17"/>
              </w:rPr>
              <w:t>Peer-reviewed extension evidence</w:t>
            </w:r>
          </w:p>
        </w:tc>
        <w:tc>
          <w:tcPr>
            <w:tcW w:type="dxa" w:w="1224"/>
            <w:vAlign w:val="center"/>
            <w:shd w:fill="FFFFFF"/>
          </w:tcPr>
          <w:p>
            <w:r/>
            <w:r>
              <w:rPr>
                <w:rFonts w:ascii="Aptos" w:hAnsi="Aptos"/>
                <w:b w:val="0"/>
                <w:sz w:val="17"/>
              </w:rPr>
              <w:t>Moderate</w:t>
            </w:r>
          </w:p>
        </w:tc>
      </w:tr>
      <w:tr>
        <w:tc>
          <w:tcPr>
            <w:tcW w:type="dxa" w:w="2016"/>
            <w:vAlign w:val="center"/>
            <w:shd w:fill="F2F4F6"/>
          </w:tcPr>
          <w:p>
            <w:r/>
            <w:r>
              <w:rPr>
                <w:rFonts w:ascii="Aptos" w:hAnsi="Aptos"/>
                <w:b w:val="0"/>
                <w:sz w:val="17"/>
              </w:rPr>
              <w:t>PMC review/meta-analysis</w:t>
            </w:r>
          </w:p>
        </w:tc>
        <w:tc>
          <w:tcPr>
            <w:tcW w:type="dxa" w:w="4608"/>
            <w:vAlign w:val="center"/>
            <w:shd w:fill="F2F4F6"/>
          </w:tcPr>
          <w:p>
            <w:r/>
            <w:r>
              <w:rPr>
                <w:rFonts w:ascii="Aptos" w:hAnsi="Aptos"/>
                <w:b w:val="0"/>
                <w:sz w:val="17"/>
              </w:rPr>
              <w:t>Open-access synthesis of fevipiprant asthma evidence and development trajectory.</w:t>
            </w:r>
          </w:p>
        </w:tc>
        <w:tc>
          <w:tcPr>
            <w:tcW w:type="dxa" w:w="2376"/>
            <w:vAlign w:val="center"/>
            <w:shd w:fill="F2F4F6"/>
          </w:tcPr>
          <w:p>
            <w:r/>
            <w:r>
              <w:rPr>
                <w:rFonts w:ascii="Aptos" w:hAnsi="Aptos"/>
                <w:b w:val="0"/>
                <w:sz w:val="17"/>
              </w:rPr>
              <w:t>Secondary literature</w:t>
            </w:r>
          </w:p>
        </w:tc>
        <w:tc>
          <w:tcPr>
            <w:tcW w:type="dxa" w:w="1224"/>
            <w:vAlign w:val="center"/>
            <w:shd w:fill="F2F4F6"/>
          </w:tcPr>
          <w:p>
            <w:r/>
            <w:r>
              <w:rPr>
                <w:rFonts w:ascii="Aptos" w:hAnsi="Aptos"/>
                <w:b w:val="0"/>
                <w:sz w:val="17"/>
              </w:rPr>
              <w:t>Moderate</w:t>
            </w:r>
          </w:p>
        </w:tc>
      </w:tr>
      <w:tr>
        <w:tc>
          <w:tcPr>
            <w:tcW w:type="dxa" w:w="2016"/>
            <w:vAlign w:val="center"/>
            <w:shd w:fill="FFFFFF"/>
          </w:tcPr>
          <w:p>
            <w:r/>
            <w:r>
              <w:rPr>
                <w:rFonts w:ascii="Aptos" w:hAnsi="Aptos"/>
                <w:b w:val="0"/>
                <w:sz w:val="17"/>
              </w:rPr>
              <w:t>Novartis 2019 Form 20-F</w:t>
            </w:r>
          </w:p>
        </w:tc>
        <w:tc>
          <w:tcPr>
            <w:tcW w:type="dxa" w:w="4608"/>
            <w:vAlign w:val="center"/>
            <w:shd w:fill="FFFFFF"/>
          </w:tcPr>
          <w:p>
            <w:r/>
            <w:r>
              <w:rPr>
                <w:rFonts w:ascii="Aptos" w:hAnsi="Aptos"/>
                <w:b w:val="0"/>
                <w:sz w:val="17"/>
              </w:rPr>
              <w:t>Public company filing noting discontinuation of QAW039 development in asthma.</w:t>
            </w:r>
          </w:p>
        </w:tc>
        <w:tc>
          <w:tcPr>
            <w:tcW w:type="dxa" w:w="2376"/>
            <w:vAlign w:val="center"/>
            <w:shd w:fill="FFFFFF"/>
          </w:tcPr>
          <w:p>
            <w:r/>
            <w:r>
              <w:rPr>
                <w:rFonts w:ascii="Aptos" w:hAnsi="Aptos"/>
                <w:b w:val="0"/>
                <w:sz w:val="17"/>
              </w:rPr>
              <w:t>Sponsor disclosure</w:t>
            </w:r>
          </w:p>
        </w:tc>
        <w:tc>
          <w:tcPr>
            <w:tcW w:type="dxa" w:w="1224"/>
            <w:vAlign w:val="center"/>
            <w:shd w:fill="FFFFFF"/>
          </w:tcPr>
          <w:p>
            <w:r/>
            <w:r>
              <w:rPr>
                <w:rFonts w:ascii="Aptos" w:hAnsi="Aptos"/>
                <w:b w:val="0"/>
                <w:sz w:val="17"/>
              </w:rPr>
              <w:t>High</w:t>
            </w:r>
          </w:p>
        </w:tc>
      </w:tr>
    </w:tbl>
    <w:p>
      <w:pPr>
        <w:spacing w:after="40"/>
      </w:pPr>
    </w:p>
    <w:p>
      <w:pPr>
        <w:pStyle w:val="Heading1"/>
        <w:keepNext/>
      </w:pPr>
      <w:r>
        <w:t>6. Weighted Appraisal Scorecard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880"/>
            <w:vAlign w:val="center"/>
            <w:shd w:fill="18324A"/>
          </w:tcPr>
          <w:p>
            <w:r/>
            <w:r>
              <w:rPr>
                <w:rFonts w:ascii="Aptos" w:hAnsi="Aptos"/>
                <w:b/>
                <w:color w:val="FFFFFF"/>
                <w:sz w:val="17"/>
              </w:rPr>
              <w:t>Category</w:t>
            </w:r>
          </w:p>
        </w:tc>
        <w:tc>
          <w:tcPr>
            <w:tcW w:type="dxa" w:w="792"/>
            <w:vAlign w:val="center"/>
            <w:shd w:fill="18324A"/>
          </w:tcPr>
          <w:p>
            <w:r/>
            <w:r>
              <w:rPr>
                <w:rFonts w:ascii="Aptos" w:hAnsi="Aptos"/>
                <w:b/>
                <w:color w:val="FFFFFF"/>
                <w:sz w:val="17"/>
              </w:rPr>
              <w:t>Weight</w:t>
            </w:r>
          </w:p>
        </w:tc>
        <w:tc>
          <w:tcPr>
            <w:tcW w:type="dxa" w:w="936"/>
            <w:vAlign w:val="center"/>
            <w:shd w:fill="18324A"/>
          </w:tcPr>
          <w:p>
            <w:r/>
            <w:r>
              <w:rPr>
                <w:rFonts w:ascii="Aptos" w:hAnsi="Aptos"/>
                <w:b/>
                <w:color w:val="FFFFFF"/>
                <w:sz w:val="17"/>
              </w:rPr>
              <w:t>Score 0-5</w:t>
            </w:r>
          </w:p>
        </w:tc>
        <w:tc>
          <w:tcPr>
            <w:tcW w:type="dxa" w:w="936"/>
            <w:vAlign w:val="center"/>
            <w:shd w:fill="18324A"/>
          </w:tcPr>
          <w:p>
            <w:r/>
            <w:r>
              <w:rPr>
                <w:rFonts w:ascii="Aptos" w:hAnsi="Aptos"/>
                <w:b/>
                <w:color w:val="FFFFFF"/>
                <w:sz w:val="17"/>
              </w:rPr>
              <w:t>Weighted</w:t>
            </w:r>
          </w:p>
        </w:tc>
        <w:tc>
          <w:tcPr>
            <w:tcW w:type="dxa" w:w="4680"/>
            <w:vAlign w:val="center"/>
            <w:shd w:fill="18324A"/>
          </w:tcPr>
          <w:p>
            <w:r/>
            <w:r>
              <w:rPr>
                <w:rFonts w:ascii="Aptos" w:hAnsi="Aptos"/>
                <w:b/>
                <w:color w:val="FFFFFF"/>
                <w:sz w:val="17"/>
              </w:rPr>
              <w:t>Rationale</w:t>
            </w:r>
          </w:p>
        </w:tc>
      </w:tr>
      <w:tr>
        <w:tc>
          <w:tcPr>
            <w:tcW w:type="dxa" w:w="2880"/>
            <w:vAlign w:val="center"/>
            <w:shd w:fill="FFFFFF"/>
          </w:tcPr>
          <w:p>
            <w:r/>
            <w:r>
              <w:rPr>
                <w:rFonts w:ascii="Aptos" w:hAnsi="Aptos"/>
                <w:b w:val="0"/>
                <w:sz w:val="17"/>
              </w:rPr>
              <w:t>Therapeutic gap and medical need</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1.6</w:t>
            </w:r>
          </w:p>
        </w:tc>
        <w:tc>
          <w:tcPr>
            <w:tcW w:type="dxa" w:w="4680"/>
            <w:vAlign w:val="center"/>
            <w:shd w:fill="FFFFFF"/>
          </w:tcPr>
          <w:p>
            <w:r/>
            <w:r>
              <w:rPr>
                <w:rFonts w:ascii="Aptos" w:hAnsi="Aptos"/>
                <w:b w:val="0"/>
                <w:sz w:val="17"/>
              </w:rPr>
              <w:t>Asthma remains important, but the molecule failed to prove enough value to justify further internal development.</w:t>
            </w:r>
          </w:p>
        </w:tc>
      </w:tr>
      <w:tr>
        <w:tc>
          <w:tcPr>
            <w:tcW w:type="dxa" w:w="2880"/>
            <w:vAlign w:val="center"/>
            <w:shd w:fill="F2F4F6"/>
          </w:tcPr>
          <w:p>
            <w:r/>
            <w:r>
              <w:rPr>
                <w:rFonts w:ascii="Aptos" w:hAnsi="Aptos"/>
                <w:b w:val="0"/>
                <w:sz w:val="17"/>
              </w:rPr>
              <w:t>Molecule and target profile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1.6</w:t>
            </w:r>
          </w:p>
        </w:tc>
        <w:tc>
          <w:tcPr>
            <w:tcW w:type="dxa" w:w="4680"/>
            <w:vAlign w:val="center"/>
            <w:shd w:fill="F2F4F6"/>
          </w:tcPr>
          <w:p>
            <w:r/>
            <w:r>
              <w:rPr>
                <w:rFonts w:ascii="Aptos" w:hAnsi="Aptos"/>
                <w:b w:val="0"/>
                <w:sz w:val="17"/>
              </w:rPr>
              <w:t>The DP2/CRTh2 concept was biologically plausible but did not convert into robust late-stage differentiation.</w:t>
            </w:r>
          </w:p>
        </w:tc>
      </w:tr>
      <w:tr>
        <w:tc>
          <w:tcPr>
            <w:tcW w:type="dxa" w:w="2880"/>
            <w:vAlign w:val="center"/>
            <w:shd w:fill="FFFFFF"/>
          </w:tcPr>
          <w:p>
            <w:r/>
            <w:r>
              <w:rPr>
                <w:rFonts w:ascii="Aptos" w:hAnsi="Aptos"/>
                <w:b w:val="0"/>
                <w:sz w:val="17"/>
              </w:rPr>
              <w:t>Preclinical evidence</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1.2</w:t>
            </w:r>
          </w:p>
        </w:tc>
        <w:tc>
          <w:tcPr>
            <w:tcW w:type="dxa" w:w="4680"/>
            <w:vAlign w:val="center"/>
            <w:shd w:fill="FFFFFF"/>
          </w:tcPr>
          <w:p>
            <w:r/>
            <w:r>
              <w:rPr>
                <w:rFonts w:ascii="Aptos" w:hAnsi="Aptos"/>
                <w:b w:val="0"/>
                <w:sz w:val="17"/>
              </w:rPr>
              <w:t>The present run did not uncover a preclinical package that would overcome the clinical failure signal.</w:t>
            </w:r>
          </w:p>
        </w:tc>
      </w:tr>
      <w:tr>
        <w:tc>
          <w:tcPr>
            <w:tcW w:type="dxa" w:w="2880"/>
            <w:vAlign w:val="center"/>
            <w:shd w:fill="F2F4F6"/>
          </w:tcPr>
          <w:p>
            <w:r/>
            <w:r>
              <w:rPr>
                <w:rFonts w:ascii="Aptos" w:hAnsi="Aptos"/>
                <w:b w:val="0"/>
                <w:sz w:val="17"/>
              </w:rPr>
              <w:t>Clinical evidence</w:t>
            </w:r>
          </w:p>
        </w:tc>
        <w:tc>
          <w:tcPr>
            <w:tcW w:type="dxa" w:w="792"/>
            <w:vAlign w:val="center"/>
            <w:shd w:fill="F2F4F6"/>
          </w:tcPr>
          <w:p>
            <w:r/>
            <w:r>
              <w:rPr>
                <w:rFonts w:ascii="Aptos" w:hAnsi="Aptos"/>
                <w:b w:val="0"/>
                <w:sz w:val="17"/>
              </w:rPr>
              <w:t>16</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3.2</w:t>
            </w:r>
          </w:p>
        </w:tc>
        <w:tc>
          <w:tcPr>
            <w:tcW w:type="dxa" w:w="4680"/>
            <w:vAlign w:val="center"/>
            <w:shd w:fill="F2F4F6"/>
          </w:tcPr>
          <w:p>
            <w:r/>
            <w:r>
              <w:rPr>
                <w:rFonts w:ascii="Aptos" w:hAnsi="Aptos"/>
                <w:b w:val="0"/>
                <w:sz w:val="17"/>
              </w:rPr>
              <w:t>Phase III ZEAL and LUSTER results and subsequent sponsor communications do not support progression.</w:t>
            </w:r>
          </w:p>
        </w:tc>
      </w:tr>
      <w:tr>
        <w:tc>
          <w:tcPr>
            <w:tcW w:type="dxa" w:w="2880"/>
            <w:vAlign w:val="center"/>
            <w:shd w:fill="FFFFFF"/>
          </w:tcPr>
          <w:p>
            <w:r/>
            <w:r>
              <w:rPr>
                <w:rFonts w:ascii="Aptos" w:hAnsi="Aptos"/>
                <w:b w:val="0"/>
                <w:sz w:val="17"/>
              </w:rPr>
              <w:t>Safety and tolerability</w:t>
            </w:r>
          </w:p>
        </w:tc>
        <w:tc>
          <w:tcPr>
            <w:tcW w:type="dxa" w:w="792"/>
            <w:vAlign w:val="center"/>
            <w:shd w:fill="FFFFFF"/>
          </w:tcPr>
          <w:p>
            <w:r/>
            <w:r>
              <w:rPr>
                <w:rFonts w:ascii="Aptos" w:hAnsi="Aptos"/>
                <w:b w:val="0"/>
                <w:sz w:val="17"/>
              </w:rPr>
              <w:t>10</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2.0</w:t>
            </w:r>
          </w:p>
        </w:tc>
        <w:tc>
          <w:tcPr>
            <w:tcW w:type="dxa" w:w="4680"/>
            <w:vAlign w:val="center"/>
            <w:shd w:fill="FFFFFF"/>
          </w:tcPr>
          <w:p>
            <w:r/>
            <w:r>
              <w:rPr>
                <w:rFonts w:ascii="Aptos" w:hAnsi="Aptos"/>
                <w:b w:val="0"/>
                <w:sz w:val="17"/>
              </w:rPr>
              <w:t>No dominant safety signal drove the no-go; the main barrier is lack of convincing efficacy and development viability.</w:t>
            </w:r>
          </w:p>
        </w:tc>
      </w:tr>
      <w:tr>
        <w:tc>
          <w:tcPr>
            <w:tcW w:type="dxa" w:w="2880"/>
            <w:vAlign w:val="center"/>
            <w:shd w:fill="F2F4F6"/>
          </w:tcPr>
          <w:p>
            <w:r/>
            <w:r>
              <w:rPr>
                <w:rFonts w:ascii="Aptos" w:hAnsi="Aptos"/>
                <w:b w:val="0"/>
                <w:sz w:val="17"/>
              </w:rPr>
              <w:t>Regulatory status and pathway</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1.6</w:t>
            </w:r>
          </w:p>
        </w:tc>
        <w:tc>
          <w:tcPr>
            <w:tcW w:type="dxa" w:w="4680"/>
            <w:vAlign w:val="center"/>
            <w:shd w:fill="F2F4F6"/>
          </w:tcPr>
          <w:p>
            <w:r/>
            <w:r>
              <w:rPr>
                <w:rFonts w:ascii="Aptos" w:hAnsi="Aptos"/>
                <w:b w:val="0"/>
                <w:sz w:val="17"/>
              </w:rPr>
              <w:t>No verified current approval or realistic filing path was established for India or major markets.</w:t>
            </w:r>
          </w:p>
        </w:tc>
      </w:tr>
      <w:tr>
        <w:tc>
          <w:tcPr>
            <w:tcW w:type="dxa" w:w="2880"/>
            <w:vAlign w:val="center"/>
            <w:shd w:fill="FFFFFF"/>
          </w:tcPr>
          <w:p>
            <w:r/>
            <w:r>
              <w:rPr>
                <w:rFonts w:ascii="Aptos" w:hAnsi="Aptos"/>
                <w:b w:val="0"/>
                <w:sz w:val="17"/>
              </w:rPr>
              <w:t>Patent and exclusivity</w:t>
            </w:r>
          </w:p>
        </w:tc>
        <w:tc>
          <w:tcPr>
            <w:tcW w:type="dxa" w:w="792"/>
            <w:vAlign w:val="center"/>
            <w:shd w:fill="FFFFFF"/>
          </w:tcPr>
          <w:p>
            <w:r/>
            <w:r>
              <w:rPr>
                <w:rFonts w:ascii="Aptos" w:hAnsi="Aptos"/>
                <w:b w:val="0"/>
                <w:sz w:val="17"/>
              </w:rPr>
              <w:t>8</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1.6</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Competitor landscape</w:t>
            </w:r>
          </w:p>
        </w:tc>
        <w:tc>
          <w:tcPr>
            <w:tcW w:type="dxa" w:w="792"/>
            <w:vAlign w:val="center"/>
            <w:shd w:fill="F2F4F6"/>
          </w:tcPr>
          <w:p>
            <w:r/>
            <w:r>
              <w:rPr>
                <w:rFonts w:ascii="Aptos" w:hAnsi="Aptos"/>
                <w:b w:val="0"/>
                <w:sz w:val="17"/>
              </w:rPr>
              <w:t>8</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1.6</w:t>
            </w:r>
          </w:p>
        </w:tc>
        <w:tc>
          <w:tcPr>
            <w:tcW w:type="dxa" w:w="4680"/>
            <w:vAlign w:val="center"/>
            <w:shd w:fill="F2F4F6"/>
          </w:tcPr>
          <w:p>
            <w:r/>
            <w:r>
              <w:rPr>
                <w:rFonts w:ascii="Aptos" w:hAnsi="Aptos"/>
                <w:b w:val="0"/>
                <w:sz w:val="17"/>
              </w:rPr>
              <w:t>Asthma competition is crowded and the molecule lacks a current efficacy edge.</w:t>
            </w:r>
          </w:p>
        </w:tc>
      </w:tr>
      <w:tr>
        <w:tc>
          <w:tcPr>
            <w:tcW w:type="dxa" w:w="2880"/>
            <w:vAlign w:val="center"/>
            <w:shd w:fill="FFFFFF"/>
          </w:tcPr>
          <w:p>
            <w:r/>
            <w:r>
              <w:rPr>
                <w:rFonts w:ascii="Aptos" w:hAnsi="Aptos"/>
                <w:b w:val="0"/>
                <w:sz w:val="17"/>
              </w:rPr>
              <w:t>Pricing and market access</w:t>
            </w:r>
          </w:p>
        </w:tc>
        <w:tc>
          <w:tcPr>
            <w:tcW w:type="dxa" w:w="792"/>
            <w:vAlign w:val="center"/>
            <w:shd w:fill="FFFFFF"/>
          </w:tcPr>
          <w:p>
            <w:r/>
            <w:r>
              <w:rPr>
                <w:rFonts w:ascii="Aptos" w:hAnsi="Aptos"/>
                <w:b w:val="0"/>
                <w:sz w:val="17"/>
              </w:rPr>
              <w:t>7</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1.4</w:t>
            </w:r>
          </w:p>
        </w:tc>
        <w:tc>
          <w:tcPr>
            <w:tcW w:type="dxa" w:w="4680"/>
            <w:vAlign w:val="center"/>
            <w:shd w:fill="FFFFFF"/>
          </w:tcPr>
          <w:p>
            <w:r/>
            <w:r>
              <w:rPr>
                <w:rFonts w:ascii="Aptos" w:hAnsi="Aptos"/>
                <w:b w:val="0"/>
                <w:sz w:val="17"/>
              </w:rPr>
              <w:t>Conservative score because authoritative India-specific diligence data were not supplied.</w:t>
            </w:r>
          </w:p>
        </w:tc>
      </w:tr>
      <w:tr>
        <w:tc>
          <w:tcPr>
            <w:tcW w:type="dxa" w:w="2880"/>
            <w:vAlign w:val="center"/>
            <w:shd w:fill="F2F4F6"/>
          </w:tcPr>
          <w:p>
            <w:r/>
            <w:r>
              <w:rPr>
                <w:rFonts w:ascii="Aptos" w:hAnsi="Aptos"/>
                <w:b w:val="0"/>
                <w:sz w:val="17"/>
              </w:rPr>
              <w:t>API economics and supply</w:t>
            </w:r>
          </w:p>
        </w:tc>
        <w:tc>
          <w:tcPr>
            <w:tcW w:type="dxa" w:w="792"/>
            <w:vAlign w:val="center"/>
            <w:shd w:fill="F2F4F6"/>
          </w:tcPr>
          <w:p>
            <w:r/>
            <w:r>
              <w:rPr>
                <w:rFonts w:ascii="Aptos" w:hAnsi="Aptos"/>
                <w:b w:val="0"/>
                <w:sz w:val="17"/>
              </w:rPr>
              <w:t>5</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1.0</w:t>
            </w:r>
          </w:p>
        </w:tc>
        <w:tc>
          <w:tcPr>
            <w:tcW w:type="dxa" w:w="4680"/>
            <w:vAlign w:val="center"/>
            <w:shd w:fill="F2F4F6"/>
          </w:tcPr>
          <w:p>
            <w:r/>
            <w:r>
              <w:rPr>
                <w:rFonts w:ascii="Aptos" w:hAnsi="Aptos"/>
                <w:b w:val="0"/>
                <w:sz w:val="17"/>
              </w:rPr>
              <w:t>Conservative score because authoritative India-specific diligence data were not supplied.</w:t>
            </w:r>
          </w:p>
        </w:tc>
      </w:tr>
      <w:tr>
        <w:tc>
          <w:tcPr>
            <w:tcW w:type="dxa" w:w="2880"/>
            <w:vAlign w:val="center"/>
            <w:shd w:fill="FFFFFF"/>
          </w:tcPr>
          <w:p>
            <w:r/>
            <w:r>
              <w:rPr>
                <w:rFonts w:ascii="Aptos" w:hAnsi="Aptos"/>
                <w:b w:val="0"/>
                <w:sz w:val="17"/>
              </w:rPr>
              <w:t>Commercial attractiveness</w:t>
            </w:r>
          </w:p>
        </w:tc>
        <w:tc>
          <w:tcPr>
            <w:tcW w:type="dxa" w:w="792"/>
            <w:vAlign w:val="center"/>
            <w:shd w:fill="FFFFFF"/>
          </w:tcPr>
          <w:p>
            <w:r/>
            <w:r>
              <w:rPr>
                <w:rFonts w:ascii="Aptos" w:hAnsi="Aptos"/>
                <w:b w:val="0"/>
                <w:sz w:val="17"/>
              </w:rPr>
              <w:t>6</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1.2</w:t>
            </w:r>
          </w:p>
        </w:tc>
        <w:tc>
          <w:tcPr>
            <w:tcW w:type="dxa" w:w="4680"/>
            <w:vAlign w:val="center"/>
            <w:shd w:fill="FFFFFF"/>
          </w:tcPr>
          <w:p>
            <w:r/>
            <w:r>
              <w:rPr>
                <w:rFonts w:ascii="Aptos" w:hAnsi="Aptos"/>
                <w:b w:val="0"/>
                <w:sz w:val="17"/>
              </w:rPr>
              <w:t>The expected return does not justify the remaining investment.</w:t>
            </w:r>
          </w:p>
        </w:tc>
      </w:tr>
      <w:tr>
        <w:tc>
          <w:tcPr>
            <w:tcW w:type="dxa" w:w="2880"/>
            <w:vAlign w:val="center"/>
            <w:shd w:fill="F2F4F6"/>
          </w:tcPr>
          <w:p>
            <w:r/>
            <w:r>
              <w:rPr>
                <w:rFonts w:ascii="Aptos" w:hAnsi="Aptos"/>
                <w:b w:val="0"/>
                <w:sz w:val="17"/>
              </w:rPr>
              <w:t>Strategic fit with company product mix</w:t>
            </w:r>
          </w:p>
        </w:tc>
        <w:tc>
          <w:tcPr>
            <w:tcW w:type="dxa" w:w="792"/>
            <w:vAlign w:val="center"/>
            <w:shd w:fill="F2F4F6"/>
          </w:tcPr>
          <w:p>
            <w:r/>
            <w:r>
              <w:rPr>
                <w:rFonts w:ascii="Aptos" w:hAnsi="Aptos"/>
                <w:b w:val="0"/>
                <w:sz w:val="17"/>
              </w:rPr>
              <w:t>6</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1.2</w:t>
            </w:r>
          </w:p>
        </w:tc>
        <w:tc>
          <w:tcPr>
            <w:tcW w:type="dxa" w:w="4680"/>
            <w:vAlign w:val="center"/>
            <w:shd w:fill="F2F4F6"/>
          </w:tcPr>
          <w:p>
            <w:r/>
            <w:r>
              <w:rPr>
                <w:rFonts w:ascii="Aptos" w:hAnsi="Aptos"/>
                <w:b w:val="0"/>
                <w:sz w:val="17"/>
              </w:rPr>
              <w:t>A failed asthma program is a weak fit unless the company is specifically acquiring negative-development rights for learning value.</w:t>
            </w:r>
          </w:p>
        </w:tc>
      </w:tr>
      <w:tr>
        <w:tc>
          <w:tcPr>
            <w:tcW w:type="dxa" w:w="2880"/>
            <w:vAlign w:val="center"/>
            <w:shd w:fill="FFFFFF"/>
          </w:tcPr>
          <w:p>
            <w:r/>
            <w:r>
              <w:rPr>
                <w:rFonts w:ascii="Aptos" w:hAnsi="Aptos"/>
                <w:b w:val="0"/>
                <w:sz w:val="17"/>
              </w:rPr>
              <w:t>Operational and CMC feasibility</w:t>
            </w:r>
          </w:p>
        </w:tc>
        <w:tc>
          <w:tcPr>
            <w:tcW w:type="dxa" w:w="792"/>
            <w:vAlign w:val="center"/>
            <w:shd w:fill="FFFFFF"/>
          </w:tcPr>
          <w:p>
            <w:r/>
            <w:r>
              <w:rPr>
                <w:rFonts w:ascii="Aptos" w:hAnsi="Aptos"/>
                <w:b w:val="0"/>
                <w:sz w:val="17"/>
              </w:rPr>
              <w:t>4</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0.8</w:t>
            </w:r>
          </w:p>
        </w:tc>
        <w:tc>
          <w:tcPr>
            <w:tcW w:type="dxa" w:w="4680"/>
            <w:vAlign w:val="center"/>
            <w:shd w:fill="FFFFFF"/>
          </w:tcPr>
          <w:p>
            <w:r/>
            <w:r>
              <w:rPr>
                <w:rFonts w:ascii="Aptos" w:hAnsi="Aptos"/>
                <w:b w:val="0"/>
                <w:sz w:val="17"/>
              </w:rPr>
              <w:t>Technical feasibility is moot without a defensible clinical and regulatory path.</w:t>
            </w:r>
          </w:p>
        </w:tc>
      </w:tr>
      <w:tr>
        <w:tc>
          <w:tcPr>
            <w:tcW w:type="dxa" w:w="2880"/>
            <w:vAlign w:val="center"/>
            <w:shd w:fill="F2F4F6"/>
          </w:tcPr>
          <w:p>
            <w:r/>
            <w:r>
              <w:rPr>
                <w:rFonts w:ascii="Aptos" w:hAnsi="Aptos"/>
                <w:b w:val="0"/>
                <w:sz w:val="17"/>
              </w:rPr>
              <w:t>HCP value proposition</w:t>
            </w:r>
          </w:p>
        </w:tc>
        <w:tc>
          <w:tcPr>
            <w:tcW w:type="dxa" w:w="792"/>
            <w:vAlign w:val="center"/>
            <w:shd w:fill="F2F4F6"/>
          </w:tcPr>
          <w:p>
            <w:r/>
            <w:r>
              <w:rPr>
                <w:rFonts w:ascii="Aptos" w:hAnsi="Aptos"/>
                <w:b w:val="0"/>
                <w:sz w:val="17"/>
              </w:rPr>
              <w:t>4</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0.8</w:t>
            </w:r>
          </w:p>
        </w:tc>
        <w:tc>
          <w:tcPr>
            <w:tcW w:type="dxa" w:w="4680"/>
            <w:vAlign w:val="center"/>
            <w:shd w:fill="F2F4F6"/>
          </w:tcPr>
          <w:p>
            <w:r/>
            <w:r>
              <w:rPr>
                <w:rFonts w:ascii="Aptos" w:hAnsi="Aptos"/>
                <w:b w:val="0"/>
                <w:sz w:val="17"/>
              </w:rPr>
              <w:t>The proposed value proposition is not strong enough to support a confident launch narrative.</w:t>
            </w:r>
          </w:p>
        </w:tc>
      </w:tr>
      <w:tr>
        <w:tc>
          <w:tcPr>
            <w:tcW w:type="dxa" w:w="2880"/>
            <w:vAlign w:val="center"/>
            <w:shd w:fill="FFFFFF"/>
          </w:tcPr>
          <w:p>
            <w:r/>
            <w:r>
              <w:rPr>
                <w:rFonts w:ascii="Aptos" w:hAnsi="Aptos"/>
                <w:b w:val="0"/>
                <w:sz w:val="17"/>
              </w:rPr>
              <w:t>Evidence quality and digital intelligence</w:t>
            </w:r>
          </w:p>
        </w:tc>
        <w:tc>
          <w:tcPr>
            <w:tcW w:type="dxa" w:w="792"/>
            <w:vAlign w:val="center"/>
            <w:shd w:fill="FFFFFF"/>
          </w:tcPr>
          <w:p>
            <w:r/>
            <w:r>
              <w:rPr>
                <w:rFonts w:ascii="Aptos" w:hAnsi="Aptos"/>
                <w:b w:val="0"/>
                <w:sz w:val="17"/>
              </w:rPr>
              <w:t>3</w:t>
            </w:r>
          </w:p>
        </w:tc>
        <w:tc>
          <w:tcPr>
            <w:tcW w:type="dxa" w:w="936"/>
            <w:vAlign w:val="center"/>
            <w:shd w:fill="FFFFFF"/>
          </w:tcPr>
          <w:p>
            <w:r/>
            <w:r>
              <w:rPr>
                <w:rFonts w:ascii="Aptos" w:hAnsi="Aptos"/>
                <w:b w:val="0"/>
                <w:sz w:val="17"/>
              </w:rPr>
              <w:t>1</w:t>
            </w:r>
          </w:p>
        </w:tc>
        <w:tc>
          <w:tcPr>
            <w:tcW w:type="dxa" w:w="936"/>
            <w:vAlign w:val="center"/>
            <w:shd w:fill="FFFFFF"/>
          </w:tcPr>
          <w:p>
            <w:r/>
            <w:r>
              <w:rPr>
                <w:rFonts w:ascii="Aptos" w:hAnsi="Aptos"/>
                <w:b w:val="0"/>
                <w:sz w:val="17"/>
              </w:rPr>
              <w:t>0.6</w:t>
            </w:r>
          </w:p>
        </w:tc>
        <w:tc>
          <w:tcPr>
            <w:tcW w:type="dxa" w:w="4680"/>
            <w:vAlign w:val="center"/>
            <w:shd w:fill="FFFFFF"/>
          </w:tcPr>
          <w:p>
            <w:r/>
            <w:r>
              <w:rPr>
                <w:rFonts w:ascii="Aptos" w:hAnsi="Aptos"/>
                <w:b w:val="0"/>
                <w:sz w:val="17"/>
              </w:rPr>
              <w:t>The sponsor's own late-stage evidence and public discontinuation decision are high-signal sources.</w:t>
            </w:r>
          </w:p>
        </w:tc>
      </w:tr>
      <w:tr>
        <w:tc>
          <w:tcPr>
            <w:tcW w:type="dxa" w:w="2880"/>
            <w:vAlign w:val="center"/>
            <w:shd w:fill="F2F4F6"/>
          </w:tcPr>
          <w:p>
            <w:r/>
            <w:r>
              <w:rPr>
                <w:rFonts w:ascii="Aptos" w:hAnsi="Aptos"/>
                <w:b w:val="0"/>
                <w:sz w:val="17"/>
              </w:rPr>
              <w:t>Reputation, ethics, and access</w:t>
            </w:r>
          </w:p>
        </w:tc>
        <w:tc>
          <w:tcPr>
            <w:tcW w:type="dxa" w:w="792"/>
            <w:vAlign w:val="center"/>
            <w:shd w:fill="F2F4F6"/>
          </w:tcPr>
          <w:p>
            <w:r/>
            <w:r>
              <w:rPr>
                <w:rFonts w:ascii="Aptos" w:hAnsi="Aptos"/>
                <w:b w:val="0"/>
                <w:sz w:val="17"/>
              </w:rPr>
              <w:t>1</w:t>
            </w:r>
          </w:p>
        </w:tc>
        <w:tc>
          <w:tcPr>
            <w:tcW w:type="dxa" w:w="936"/>
            <w:vAlign w:val="center"/>
            <w:shd w:fill="F2F4F6"/>
          </w:tcPr>
          <w:p>
            <w:r/>
            <w:r>
              <w:rPr>
                <w:rFonts w:ascii="Aptos" w:hAnsi="Aptos"/>
                <w:b w:val="0"/>
                <w:sz w:val="17"/>
              </w:rPr>
              <w:t>1</w:t>
            </w:r>
          </w:p>
        </w:tc>
        <w:tc>
          <w:tcPr>
            <w:tcW w:type="dxa" w:w="936"/>
            <w:vAlign w:val="center"/>
            <w:shd w:fill="F2F4F6"/>
          </w:tcPr>
          <w:p>
            <w:r/>
            <w:r>
              <w:rPr>
                <w:rFonts w:ascii="Aptos" w:hAnsi="Aptos"/>
                <w:b w:val="0"/>
                <w:sz w:val="17"/>
              </w:rPr>
              <w:t>0.2</w:t>
            </w:r>
          </w:p>
        </w:tc>
        <w:tc>
          <w:tcPr>
            <w:tcW w:type="dxa" w:w="4680"/>
            <w:vAlign w:val="center"/>
            <w:shd w:fill="F2F4F6"/>
          </w:tcPr>
          <w:p>
            <w:r/>
            <w:r>
              <w:rPr>
                <w:rFonts w:ascii="Aptos" w:hAnsi="Aptos"/>
                <w:b w:val="0"/>
                <w:sz w:val="17"/>
              </w:rPr>
              <w:t>A continued push without a new evidence basis would be a poor stewardship decision.</w:t>
            </w:r>
          </w:p>
        </w:tc>
      </w:tr>
    </w:tbl>
    <w:p>
      <w:pPr>
        <w:spacing w:after="40"/>
      </w:pPr>
    </w:p>
    <w:p>
      <w:pPr>
        <w:jc w:val="right"/>
      </w:pPr>
      <w:r>
        <w:rPr>
          <w:b/>
          <w:color w:val="137C7B"/>
          <w:sz w:val="24"/>
        </w:rPr>
        <w:t>Total preliminary weighted score: 21.6 / 100</w:t>
      </w:r>
    </w:p>
    <w:p>
      <w:pPr>
        <w:pStyle w:val="Heading1"/>
        <w:keepNext/>
      </w:pPr>
      <w:r>
        <w:t>7. Mandatory Red-Flag Review</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F5E6B7"/>
          </w:tcPr>
          <w:p>
            <w:r/>
            <w:r>
              <w:rPr>
                <w:rFonts w:ascii="Aptos" w:hAnsi="Aptos"/>
                <w:b/>
                <w:color w:val="FFFFFF"/>
                <w:sz w:val="17"/>
              </w:rPr>
              <w:t>Area</w:t>
            </w:r>
          </w:p>
        </w:tc>
        <w:tc>
          <w:tcPr>
            <w:tcW w:type="dxa" w:w="4896"/>
            <w:vAlign w:val="center"/>
            <w:shd w:fill="F5E6B7"/>
          </w:tcPr>
          <w:p>
            <w:r/>
            <w:r>
              <w:rPr>
                <w:rFonts w:ascii="Aptos" w:hAnsi="Aptos"/>
                <w:b/>
                <w:color w:val="FFFFFF"/>
                <w:sz w:val="17"/>
              </w:rPr>
              <w:t>Finding</w:t>
            </w:r>
          </w:p>
        </w:tc>
        <w:tc>
          <w:tcPr>
            <w:tcW w:type="dxa" w:w="3384"/>
            <w:vAlign w:val="center"/>
            <w:shd w:fill="F5E6B7"/>
          </w:tcPr>
          <w:p>
            <w:r/>
            <w:r>
              <w:rPr>
                <w:rFonts w:ascii="Aptos" w:hAnsi="Aptos"/>
                <w:b/>
                <w:color w:val="FFFFFF"/>
                <w:sz w:val="17"/>
              </w:rPr>
              <w:t>Required disposition</w:t>
            </w:r>
          </w:p>
        </w:tc>
      </w:tr>
      <w:tr>
        <w:tc>
          <w:tcPr>
            <w:tcW w:type="dxa" w:w="1944"/>
            <w:vAlign w:val="center"/>
            <w:shd w:fill="FFFFFF"/>
          </w:tcPr>
          <w:p>
            <w:r/>
            <w:r>
              <w:rPr>
                <w:rFonts w:ascii="Aptos" w:hAnsi="Aptos"/>
                <w:b w:val="0"/>
                <w:sz w:val="17"/>
              </w:rPr>
              <w:t>Clinical programme status</w:t>
            </w:r>
          </w:p>
        </w:tc>
        <w:tc>
          <w:tcPr>
            <w:tcW w:type="dxa" w:w="4896"/>
            <w:vAlign w:val="center"/>
            <w:shd w:fill="FFFFFF"/>
          </w:tcPr>
          <w:p>
            <w:r/>
            <w:r>
              <w:rPr>
                <w:rFonts w:ascii="Aptos" w:hAnsi="Aptos"/>
                <w:b w:val="0"/>
                <w:sz w:val="17"/>
              </w:rPr>
              <w:t>Novartis publicly stated that fevipiprant should not be further developed for asthma.</w:t>
            </w:r>
          </w:p>
        </w:tc>
        <w:tc>
          <w:tcPr>
            <w:tcW w:type="dxa" w:w="3384"/>
            <w:vAlign w:val="center"/>
            <w:shd w:fill="FFFFFF"/>
          </w:tcPr>
          <w:p>
            <w:r/>
            <w:r>
              <w:rPr>
                <w:rFonts w:ascii="Aptos" w:hAnsi="Aptos"/>
                <w:b w:val="0"/>
                <w:sz w:val="17"/>
              </w:rPr>
              <w:t>Treat as a hard stop unless new rights/evidence materially change the picture.</w:t>
            </w:r>
          </w:p>
        </w:tc>
      </w:tr>
      <w:tr>
        <w:tc>
          <w:tcPr>
            <w:tcW w:type="dxa" w:w="1944"/>
            <w:vAlign w:val="center"/>
            <w:shd w:fill="F2F4F6"/>
          </w:tcPr>
          <w:p>
            <w:r/>
            <w:r>
              <w:rPr>
                <w:rFonts w:ascii="Aptos" w:hAnsi="Aptos"/>
                <w:b w:val="0"/>
                <w:sz w:val="17"/>
              </w:rPr>
              <w:t>Late-stage efficacy</w:t>
            </w:r>
          </w:p>
        </w:tc>
        <w:tc>
          <w:tcPr>
            <w:tcW w:type="dxa" w:w="4896"/>
            <w:vAlign w:val="center"/>
            <w:shd w:fill="F2F4F6"/>
          </w:tcPr>
          <w:p>
            <w:r/>
            <w:r>
              <w:rPr>
                <w:rFonts w:ascii="Aptos" w:hAnsi="Aptos"/>
                <w:b w:val="0"/>
                <w:sz w:val="17"/>
              </w:rPr>
              <w:t>ZEAL and LUSTER phase III programmes did not deliver the needed efficacy signal.</w:t>
            </w:r>
          </w:p>
        </w:tc>
        <w:tc>
          <w:tcPr>
            <w:tcW w:type="dxa" w:w="3384"/>
            <w:vAlign w:val="center"/>
            <w:shd w:fill="F2F4F6"/>
          </w:tcPr>
          <w:p>
            <w:r/>
            <w:r>
              <w:rPr>
                <w:rFonts w:ascii="Aptos" w:hAnsi="Aptos"/>
                <w:b w:val="0"/>
                <w:sz w:val="17"/>
              </w:rPr>
              <w:t>Do not proceed on hope alone.</w:t>
            </w:r>
          </w:p>
        </w:tc>
      </w:tr>
      <w:tr>
        <w:tc>
          <w:tcPr>
            <w:tcW w:type="dxa" w:w="1944"/>
            <w:vAlign w:val="center"/>
            <w:shd w:fill="FFFFFF"/>
          </w:tcPr>
          <w:p>
            <w:r/>
            <w:r>
              <w:rPr>
                <w:rFonts w:ascii="Aptos" w:hAnsi="Aptos"/>
                <w:b w:val="0"/>
                <w:sz w:val="17"/>
              </w:rPr>
              <w:t>Commercial value</w:t>
            </w:r>
          </w:p>
        </w:tc>
        <w:tc>
          <w:tcPr>
            <w:tcW w:type="dxa" w:w="4896"/>
            <w:vAlign w:val="center"/>
            <w:shd w:fill="FFFFFF"/>
          </w:tcPr>
          <w:p>
            <w:r/>
            <w:r>
              <w:rPr>
                <w:rFonts w:ascii="Aptos" w:hAnsi="Aptos"/>
                <w:b w:val="0"/>
                <w:sz w:val="17"/>
              </w:rPr>
              <w:t>Risk-adjusted ROI is unattractive compared with other development opportunities.</w:t>
            </w:r>
          </w:p>
        </w:tc>
        <w:tc>
          <w:tcPr>
            <w:tcW w:type="dxa" w:w="3384"/>
            <w:vAlign w:val="center"/>
            <w:shd w:fill="FFFFFF"/>
          </w:tcPr>
          <w:p>
            <w:r/>
            <w:r>
              <w:rPr>
                <w:rFonts w:ascii="Aptos" w:hAnsi="Aptos"/>
                <w:b w:val="0"/>
                <w:sz w:val="17"/>
              </w:rPr>
              <w:t>No-Go for standalone investment.</w:t>
            </w:r>
          </w:p>
        </w:tc>
      </w:tr>
      <w:tr>
        <w:tc>
          <w:tcPr>
            <w:tcW w:type="dxa" w:w="1944"/>
            <w:vAlign w:val="center"/>
            <w:shd w:fill="F2F4F6"/>
          </w:tcPr>
          <w:p>
            <w:r/>
            <w:r>
              <w:rPr>
                <w:rFonts w:ascii="Aptos" w:hAnsi="Aptos"/>
                <w:b w:val="0"/>
                <w:sz w:val="17"/>
              </w:rPr>
              <w:t>Approval status</w:t>
            </w:r>
          </w:p>
        </w:tc>
        <w:tc>
          <w:tcPr>
            <w:tcW w:type="dxa" w:w="4896"/>
            <w:vAlign w:val="center"/>
            <w:shd w:fill="F2F4F6"/>
          </w:tcPr>
          <w:p>
            <w:r/>
            <w:r>
              <w:rPr>
                <w:rFonts w:ascii="Aptos" w:hAnsi="Aptos"/>
                <w:b w:val="0"/>
                <w:sz w:val="17"/>
              </w:rPr>
              <w:t>No verified India marketing authorization was identified.</w:t>
            </w:r>
          </w:p>
        </w:tc>
        <w:tc>
          <w:tcPr>
            <w:tcW w:type="dxa" w:w="3384"/>
            <w:vAlign w:val="center"/>
            <w:shd w:fill="F2F4F6"/>
          </w:tcPr>
          <w:p>
            <w:r/>
            <w:r>
              <w:rPr>
                <w:rFonts w:ascii="Aptos" w:hAnsi="Aptos"/>
                <w:b w:val="0"/>
                <w:sz w:val="17"/>
              </w:rPr>
              <w:t>No launch path without a new regulatory case.</w:t>
            </w:r>
          </w:p>
        </w:tc>
      </w:tr>
    </w:tbl>
    <w:p>
      <w:pPr>
        <w:spacing w:after="40"/>
      </w:pPr>
    </w:p>
    <w:p>
      <w:pPr>
        <w:pStyle w:val="Heading1"/>
        <w:keepNext/>
      </w:pPr>
      <w:r>
        <w:t>8. Clinical, Safety, and Regulatory Interpretation</w:t>
      </w:r>
    </w:p>
    <w:p>
      <w:pPr>
        <w:pStyle w:val="ListBullet"/>
      </w:pPr>
      <w:r>
        <w:t>Empagliflozin has a strong outcomes-based evidence platform extending beyond glycemic control.</w:t>
      </w:r>
    </w:p>
    <w:p>
      <w:pPr>
        <w:pStyle w:val="ListBullet"/>
      </w:pPr>
      <w:r>
        <w:t>Current FDA labeling includes heart failure, chronic kidney disease, cardiovascular-risk reduction in defined patients, and glycemic control indications.</w:t>
      </w:r>
    </w:p>
    <w:p>
      <w:pPr>
        <w:pStyle w:val="ListBullet"/>
      </w:pPr>
      <w:r>
        <w:t>Benefit-risk communication must visibly include ketoacidosis, volume depletion, genitourinary infection, hypoglycemia with insulin/secretagogues, perioperative interruption, and other current label controls.</w:t>
      </w:r>
    </w:p>
    <w:p>
      <w:pPr>
        <w:pStyle w:val="ListBullet"/>
      </w:pPr>
      <w:r>
        <w:t>Exact India-approved indications, restrictions, safety wording, and use conditions must govern any local content.</w:t>
      </w:r>
    </w:p>
    <w:p>
      <w:pPr>
        <w:pStyle w:val="Heading1"/>
        <w:keepNext/>
      </w:pPr>
      <w:r>
        <w:t>9. Cross-Functional Diligence Plan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18324A"/>
          </w:tcPr>
          <w:p>
            <w:r/>
            <w:r>
              <w:rPr>
                <w:rFonts w:ascii="Aptos" w:hAnsi="Aptos"/>
                <w:b/>
                <w:color w:val="FFFFFF"/>
                <w:sz w:val="17"/>
              </w:rPr>
              <w:t>Function</w:t>
            </w:r>
          </w:p>
        </w:tc>
        <w:tc>
          <w:tcPr>
            <w:tcW w:type="dxa" w:w="7128"/>
            <w:vAlign w:val="center"/>
            <w:shd w:fill="18324A"/>
          </w:tcPr>
          <w:p>
            <w:r/>
            <w:r>
              <w:rPr>
                <w:rFonts w:ascii="Aptos" w:hAnsi="Aptos"/>
                <w:b/>
                <w:color w:val="FFFFFF"/>
                <w:sz w:val="17"/>
              </w:rPr>
              <w:t>Required action</w:t>
            </w:r>
          </w:p>
        </w:tc>
        <w:tc>
          <w:tcPr>
            <w:tcW w:type="dxa" w:w="1152"/>
            <w:vAlign w:val="center"/>
            <w:shd w:fill="18324A"/>
          </w:tcPr>
          <w:p>
            <w:r/>
            <w:r>
              <w:rPr>
                <w:rFonts w:ascii="Aptos" w:hAnsi="Aptos"/>
                <w:b/>
                <w:color w:val="FFFFFF"/>
                <w:sz w:val="17"/>
              </w:rPr>
              <w:t>Priority</w:t>
            </w:r>
          </w:p>
        </w:tc>
      </w:tr>
      <w:tr>
        <w:tc>
          <w:tcPr>
            <w:tcW w:type="dxa" w:w="1944"/>
            <w:vAlign w:val="center"/>
            <w:shd w:fill="FFFFFF"/>
          </w:tcPr>
          <w:p>
            <w:r/>
            <w:r>
              <w:rPr>
                <w:rFonts w:ascii="Aptos" w:hAnsi="Aptos"/>
                <w:b w:val="0"/>
                <w:sz w:val="17"/>
              </w:rPr>
              <w:t>Regulatory</w:t>
            </w:r>
          </w:p>
        </w:tc>
        <w:tc>
          <w:tcPr>
            <w:tcW w:type="dxa" w:w="7128"/>
            <w:vAlign w:val="center"/>
            <w:shd w:fill="FFFFFF"/>
          </w:tcPr>
          <w:p>
            <w:r/>
            <w:r>
              <w:rPr>
                <w:rFonts w:ascii="Aptos" w:hAnsi="Aptos"/>
                <w:b w:val="0"/>
                <w:sz w:val="17"/>
              </w:rPr>
              <w:t>Verify current India approval status, approved indications, dose, safety language, and change history.</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Medical and PV</w:t>
            </w:r>
          </w:p>
        </w:tc>
        <w:tc>
          <w:tcPr>
            <w:tcW w:type="dxa" w:w="7128"/>
            <w:vAlign w:val="center"/>
            <w:shd w:fill="F2F4F6"/>
          </w:tcPr>
          <w:p>
            <w:r/>
            <w:r>
              <w:rPr>
                <w:rFonts w:ascii="Aptos" w:hAnsi="Aptos"/>
                <w:b w:val="0"/>
                <w:sz w:val="17"/>
              </w:rPr>
              <w:t>Complete evidence synthesis, local safety assessment, and risk-communication plan.</w:t>
            </w:r>
          </w:p>
        </w:tc>
        <w:tc>
          <w:tcPr>
            <w:tcW w:type="dxa" w:w="1152"/>
            <w:vAlign w:val="center"/>
            <w:shd w:fill="F2F4F6"/>
          </w:tcPr>
          <w:p>
            <w:r/>
            <w:r>
              <w:rPr>
                <w:rFonts w:ascii="Aptos" w:hAnsi="Aptos"/>
                <w:b w:val="0"/>
                <w:sz w:val="17"/>
              </w:rPr>
              <w:t>Critical</w:t>
            </w:r>
          </w:p>
        </w:tc>
      </w:tr>
      <w:tr>
        <w:tc>
          <w:tcPr>
            <w:tcW w:type="dxa" w:w="1944"/>
            <w:vAlign w:val="center"/>
            <w:shd w:fill="FFFFFF"/>
          </w:tcPr>
          <w:p>
            <w:r/>
            <w:r>
              <w:rPr>
                <w:rFonts w:ascii="Aptos" w:hAnsi="Aptos"/>
                <w:b w:val="0"/>
                <w:sz w:val="17"/>
              </w:rPr>
              <w:t>Patent and legal</w:t>
            </w:r>
          </w:p>
        </w:tc>
        <w:tc>
          <w:tcPr>
            <w:tcW w:type="dxa" w:w="7128"/>
            <w:vAlign w:val="center"/>
            <w:shd w:fill="FFFFFF"/>
          </w:tcPr>
          <w:p>
            <w:r/>
            <w:r>
              <w:rPr>
                <w:rFonts w:ascii="Aptos" w:hAnsi="Aptos"/>
                <w:b w:val="0"/>
                <w:sz w:val="17"/>
              </w:rPr>
              <w:t>Complete India patent landscape, exclusivity, FTO, litigation, and licensing assessment.</w:t>
            </w:r>
          </w:p>
        </w:tc>
        <w:tc>
          <w:tcPr>
            <w:tcW w:type="dxa" w:w="1152"/>
            <w:vAlign w:val="center"/>
            <w:shd w:fill="FFFFFF"/>
          </w:tcPr>
          <w:p>
            <w:r/>
            <w:r>
              <w:rPr>
                <w:rFonts w:ascii="Aptos" w:hAnsi="Aptos"/>
                <w:b w:val="0"/>
                <w:sz w:val="17"/>
              </w:rPr>
              <w:t>Critical</w:t>
            </w:r>
          </w:p>
        </w:tc>
      </w:tr>
      <w:tr>
        <w:tc>
          <w:tcPr>
            <w:tcW w:type="dxa" w:w="1944"/>
            <w:vAlign w:val="center"/>
            <w:shd w:fill="F2F4F6"/>
          </w:tcPr>
          <w:p>
            <w:r/>
            <w:r>
              <w:rPr>
                <w:rFonts w:ascii="Aptos" w:hAnsi="Aptos"/>
                <w:b w:val="0"/>
                <w:sz w:val="17"/>
              </w:rPr>
              <w:t>Commercial and market access</w:t>
            </w:r>
          </w:p>
        </w:tc>
        <w:tc>
          <w:tcPr>
            <w:tcW w:type="dxa" w:w="7128"/>
            <w:vAlign w:val="center"/>
            <w:shd w:fill="F2F4F6"/>
          </w:tcPr>
          <w:p>
            <w:r/>
            <w:r>
              <w:rPr>
                <w:rFonts w:ascii="Aptos" w:hAnsi="Aptos"/>
                <w:b w:val="0"/>
                <w:sz w:val="17"/>
              </w:rPr>
              <w:t>Validate market size, competitors, prices, affordability, channels, forecast, and portfolio fit.</w:t>
            </w:r>
          </w:p>
        </w:tc>
        <w:tc>
          <w:tcPr>
            <w:tcW w:type="dxa" w:w="1152"/>
            <w:vAlign w:val="center"/>
            <w:shd w:fill="F2F4F6"/>
          </w:tcPr>
          <w:p>
            <w:r/>
            <w:r>
              <w:rPr>
                <w:rFonts w:ascii="Aptos" w:hAnsi="Aptos"/>
                <w:b w:val="0"/>
                <w:sz w:val="17"/>
              </w:rPr>
              <w:t>Major</w:t>
            </w:r>
          </w:p>
        </w:tc>
      </w:tr>
      <w:tr>
        <w:tc>
          <w:tcPr>
            <w:tcW w:type="dxa" w:w="1944"/>
            <w:vAlign w:val="center"/>
            <w:shd w:fill="FFFFFF"/>
          </w:tcPr>
          <w:p>
            <w:r/>
            <w:r>
              <w:rPr>
                <w:rFonts w:ascii="Aptos" w:hAnsi="Aptos"/>
                <w:b w:val="0"/>
                <w:sz w:val="17"/>
              </w:rPr>
              <w:t>CMC and supply</w:t>
            </w:r>
          </w:p>
        </w:tc>
        <w:tc>
          <w:tcPr>
            <w:tcW w:type="dxa" w:w="7128"/>
            <w:vAlign w:val="center"/>
            <w:shd w:fill="FFFFFF"/>
          </w:tcPr>
          <w:p>
            <w:r/>
            <w:r>
              <w:rPr>
                <w:rFonts w:ascii="Aptos" w:hAnsi="Aptos"/>
                <w:b w:val="0"/>
                <w:sz w:val="17"/>
              </w:rPr>
              <w:t>Validate API source, cost, DMF, quality, capacity, stability, formulation, and launch feasibility.</w:t>
            </w:r>
          </w:p>
        </w:tc>
        <w:tc>
          <w:tcPr>
            <w:tcW w:type="dxa" w:w="1152"/>
            <w:vAlign w:val="center"/>
            <w:shd w:fill="FFFFFF"/>
          </w:tcPr>
          <w:p>
            <w:r/>
            <w:r>
              <w:rPr>
                <w:rFonts w:ascii="Aptos" w:hAnsi="Aptos"/>
                <w:b w:val="0"/>
                <w:sz w:val="17"/>
              </w:rPr>
              <w:t>Major</w:t>
            </w:r>
          </w:p>
        </w:tc>
      </w:tr>
      <w:tr>
        <w:tc>
          <w:tcPr>
            <w:tcW w:type="dxa" w:w="1944"/>
            <w:vAlign w:val="center"/>
            <w:shd w:fill="F2F4F6"/>
          </w:tcPr>
          <w:p>
            <w:r/>
            <w:r>
              <w:rPr>
                <w:rFonts w:ascii="Aptos" w:hAnsi="Aptos"/>
                <w:b w:val="0"/>
                <w:sz w:val="17"/>
              </w:rPr>
              <w:t>Quality</w:t>
            </w:r>
          </w:p>
        </w:tc>
        <w:tc>
          <w:tcPr>
            <w:tcW w:type="dxa" w:w="7128"/>
            <w:vAlign w:val="center"/>
            <w:shd w:fill="F2F4F6"/>
          </w:tcPr>
          <w:p>
            <w:r/>
            <w:r>
              <w:rPr>
                <w:rFonts w:ascii="Aptos" w:hAnsi="Aptos"/>
                <w:b w:val="0"/>
                <w:sz w:val="17"/>
              </w:rPr>
              <w:t>Confirm approved SOP, qualified reviewers, traceability, and controlled record requirements.</w:t>
            </w:r>
          </w:p>
        </w:tc>
        <w:tc>
          <w:tcPr>
            <w:tcW w:type="dxa" w:w="1152"/>
            <w:vAlign w:val="center"/>
            <w:shd w:fill="F2F4F6"/>
          </w:tcPr>
          <w:p>
            <w:r/>
            <w:r>
              <w:rPr>
                <w:rFonts w:ascii="Aptos" w:hAnsi="Aptos"/>
                <w:b w:val="0"/>
                <w:sz w:val="17"/>
              </w:rPr>
              <w:t>Major</w:t>
            </w:r>
          </w:p>
        </w:tc>
      </w:tr>
    </w:tbl>
    <w:p>
      <w:pPr>
        <w:spacing w:after="40"/>
      </w:pPr>
    </w:p>
    <w:p>
      <w:pPr>
        <w:pStyle w:val="Heading1"/>
        <w:keepNext/>
      </w:pPr>
      <w:r>
        <w:t>10. Preliminary Go/No-Go Interpretation</w:t>
      </w:r>
    </w:p>
    <w:p>
      <w:r>
        <w:rPr>
          <w:b/>
        </w:rPr>
        <w:t xml:space="preserve">No-Go - current evidence does not support independent development. </w:t>
      </w:r>
      <w:r>
        <w:t>Do not allocate development capital to a standalone fevipiprant launch. Multiple phase III failures, official discontinuation of asthma development, and an unattractive risk-adjusted return profile argue against internal progression. Revisit only if a new proprietary package, partnering rights, or a clearly superior subgroup strategy emerges.</w:t>
      </w:r>
    </w:p>
    <w:p>
      <w:r>
        <w:rPr>
          <w:b/>
        </w:rPr>
        <w:t xml:space="preserve">Decision boundary: </w:t>
      </w:r>
      <w:r>
        <w:t>The numeric score does not override unresolved critical red flags. This output supports diligence planning only.</w:t>
      </w:r>
    </w:p>
    <w:p>
      <w:pPr>
        <w:pStyle w:val="Heading1"/>
        <w:keepNext/>
      </w:pPr>
      <w:r>
        <w:t>11. Source Register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18324A"/>
          </w:tcPr>
          <w:p>
            <w:r/>
            <w:r>
              <w:rPr>
                <w:rFonts w:ascii="Aptos" w:hAnsi="Aptos"/>
                <w:b/>
                <w:color w:val="FFFFFF"/>
                <w:sz w:val="17"/>
              </w:rPr>
              <w:t>Source</w:t>
            </w:r>
          </w:p>
        </w:tc>
        <w:tc>
          <w:tcPr>
            <w:tcW w:type="dxa" w:w="4752"/>
            <w:vAlign w:val="center"/>
            <w:shd w:fill="18324A"/>
          </w:tcPr>
          <w:p>
            <w:r/>
            <w:r>
              <w:rPr>
                <w:rFonts w:ascii="Aptos" w:hAnsi="Aptos"/>
                <w:b/>
                <w:color w:val="FFFFFF"/>
                <w:sz w:val="17"/>
              </w:rPr>
              <w:t>Title</w:t>
            </w:r>
          </w:p>
        </w:tc>
        <w:tc>
          <w:tcPr>
            <w:tcW w:type="dxa" w:w="3312"/>
            <w:vAlign w:val="center"/>
            <w:shd w:fill="18324A"/>
          </w:tcPr>
          <w:p>
            <w:r/>
            <w:r>
              <w:rPr>
                <w:rFonts w:ascii="Aptos" w:hAnsi="Aptos"/>
                <w:b/>
                <w:color w:val="FFFFFF"/>
                <w:sz w:val="17"/>
              </w:rPr>
              <w:t>URL</w:t>
            </w:r>
          </w:p>
        </w:tc>
      </w:tr>
      <w:tr>
        <w:tc>
          <w:tcPr>
            <w:tcW w:type="dxa" w:w="2160"/>
            <w:vAlign w:val="center"/>
            <w:shd w:fill="FFFFFF"/>
          </w:tcPr>
          <w:p>
            <w:r/>
            <w:r>
              <w:rPr>
                <w:rFonts w:ascii="Aptos" w:hAnsi="Aptos"/>
                <w:b w:val="0"/>
                <w:sz w:val="17"/>
              </w:rPr>
              <w:t>Novartis</w:t>
            </w:r>
          </w:p>
        </w:tc>
        <w:tc>
          <w:tcPr>
            <w:tcW w:type="dxa" w:w="4752"/>
            <w:vAlign w:val="center"/>
            <w:shd w:fill="FFFFFF"/>
          </w:tcPr>
          <w:p>
            <w:r/>
            <w:r>
              <w:rPr>
                <w:rFonts w:ascii="Aptos" w:hAnsi="Aptos"/>
                <w:b w:val="0"/>
                <w:sz w:val="17"/>
              </w:rPr>
              <w:t>Novartis provides update on LUSTER Phase III studies in patients with uncontrolled GINA 4/5 asthma</w:t>
            </w:r>
          </w:p>
        </w:tc>
        <w:tc>
          <w:tcPr>
            <w:tcW w:type="dxa" w:w="3312"/>
            <w:vAlign w:val="center"/>
            <w:shd w:fill="FFFFFF"/>
          </w:tcPr>
          <w:p>
            <w:r/>
            <w:r>
              <w:rPr>
                <w:rFonts w:ascii="Aptos" w:hAnsi="Aptos"/>
                <w:b w:val="0"/>
                <w:sz w:val="17"/>
              </w:rPr>
              <w:t>https://www.novartis.com/news/media-releases/novartis-provides-update-luster-phase-iii-studies-patients-uncontrolled-gina-45-asthma</w:t>
            </w:r>
          </w:p>
        </w:tc>
      </w:tr>
      <w:tr>
        <w:tc>
          <w:tcPr>
            <w:tcW w:type="dxa" w:w="2160"/>
            <w:vAlign w:val="center"/>
            <w:shd w:fill="F2F4F6"/>
          </w:tcPr>
          <w:p>
            <w:r/>
            <w:r>
              <w:rPr>
                <w:rFonts w:ascii="Aptos" w:hAnsi="Aptos"/>
                <w:b w:val="0"/>
                <w:sz w:val="17"/>
              </w:rPr>
              <w:t>PubMed PMID 33997741</w:t>
            </w:r>
          </w:p>
        </w:tc>
        <w:tc>
          <w:tcPr>
            <w:tcW w:type="dxa" w:w="4752"/>
            <w:vAlign w:val="center"/>
            <w:shd w:fill="F2F4F6"/>
          </w:tcPr>
          <w:p>
            <w:r/>
            <w:r>
              <w:rPr>
                <w:rFonts w:ascii="Aptos" w:hAnsi="Aptos"/>
                <w:b w:val="0"/>
                <w:sz w:val="17"/>
              </w:rPr>
              <w:t>Efficacy and safety of fevipiprant in patients with uncontrolled asthma: ZEAL-1 and ZEAL-2</w:t>
            </w:r>
          </w:p>
        </w:tc>
        <w:tc>
          <w:tcPr>
            <w:tcW w:type="dxa" w:w="3312"/>
            <w:vAlign w:val="center"/>
            <w:shd w:fill="F2F4F6"/>
          </w:tcPr>
          <w:p>
            <w:r/>
            <w:r>
              <w:rPr>
                <w:rFonts w:ascii="Aptos" w:hAnsi="Aptos"/>
                <w:b w:val="0"/>
                <w:sz w:val="17"/>
              </w:rPr>
              <w:t>https://pubmed.ncbi.nlm.nih.gov/33997741/</w:t>
            </w:r>
          </w:p>
        </w:tc>
      </w:tr>
      <w:tr>
        <w:tc>
          <w:tcPr>
            <w:tcW w:type="dxa" w:w="2160"/>
            <w:vAlign w:val="center"/>
            <w:shd w:fill="FFFFFF"/>
          </w:tcPr>
          <w:p>
            <w:r/>
            <w:r>
              <w:rPr>
                <w:rFonts w:ascii="Aptos" w:hAnsi="Aptos"/>
                <w:b w:val="0"/>
                <w:sz w:val="17"/>
              </w:rPr>
              <w:t>PMC 8099656</w:t>
            </w:r>
          </w:p>
        </w:tc>
        <w:tc>
          <w:tcPr>
            <w:tcW w:type="dxa" w:w="4752"/>
            <w:vAlign w:val="center"/>
            <w:shd w:fill="FFFFFF"/>
          </w:tcPr>
          <w:p>
            <w:r/>
            <w:r>
              <w:rPr>
                <w:rFonts w:ascii="Aptos" w:hAnsi="Aptos"/>
                <w:b w:val="0"/>
                <w:sz w:val="17"/>
              </w:rPr>
              <w:t>ZEAL-1 and ZEAL-2 full text</w:t>
            </w:r>
          </w:p>
        </w:tc>
        <w:tc>
          <w:tcPr>
            <w:tcW w:type="dxa" w:w="3312"/>
            <w:vAlign w:val="center"/>
            <w:shd w:fill="FFFFFF"/>
          </w:tcPr>
          <w:p>
            <w:r/>
            <w:r>
              <w:rPr>
                <w:rFonts w:ascii="Aptos" w:hAnsi="Aptos"/>
                <w:b w:val="0"/>
                <w:sz w:val="17"/>
              </w:rPr>
              <w:t>https://pmc.ncbi.nlm.nih.gov/articles/PMC8099656/</w:t>
            </w:r>
          </w:p>
        </w:tc>
      </w:tr>
      <w:tr>
        <w:tc>
          <w:tcPr>
            <w:tcW w:type="dxa" w:w="2160"/>
            <w:vAlign w:val="center"/>
            <w:shd w:fill="F2F4F6"/>
          </w:tcPr>
          <w:p>
            <w:r/>
            <w:r>
              <w:rPr>
                <w:rFonts w:ascii="Aptos" w:hAnsi="Aptos"/>
                <w:b w:val="0"/>
                <w:sz w:val="17"/>
              </w:rPr>
              <w:t>PMC 8666007</w:t>
            </w:r>
          </w:p>
        </w:tc>
        <w:tc>
          <w:tcPr>
            <w:tcW w:type="dxa" w:w="4752"/>
            <w:vAlign w:val="center"/>
            <w:shd w:fill="F2F4F6"/>
          </w:tcPr>
          <w:p>
            <w:r/>
            <w:r>
              <w:rPr>
                <w:rFonts w:ascii="Aptos" w:hAnsi="Aptos"/>
                <w:b w:val="0"/>
                <w:sz w:val="17"/>
              </w:rPr>
              <w:t>Long-term safety and exploratory efficacy of fevipiprant: SPIRIT randomised clinical trial</w:t>
            </w:r>
          </w:p>
        </w:tc>
        <w:tc>
          <w:tcPr>
            <w:tcW w:type="dxa" w:w="3312"/>
            <w:vAlign w:val="center"/>
            <w:shd w:fill="F2F4F6"/>
          </w:tcPr>
          <w:p>
            <w:r/>
            <w:r>
              <w:rPr>
                <w:rFonts w:ascii="Aptos" w:hAnsi="Aptos"/>
                <w:b w:val="0"/>
                <w:sz w:val="17"/>
              </w:rPr>
              <w:t>https://pmc.ncbi.nlm.nih.gov/articles/PMC8666007/</w:t>
            </w:r>
          </w:p>
        </w:tc>
      </w:tr>
      <w:tr>
        <w:tc>
          <w:tcPr>
            <w:tcW w:type="dxa" w:w="2160"/>
            <w:vAlign w:val="center"/>
            <w:shd w:fill="FFFFFF"/>
          </w:tcPr>
          <w:p>
            <w:r/>
            <w:r>
              <w:rPr>
                <w:rFonts w:ascii="Aptos" w:hAnsi="Aptos"/>
                <w:b w:val="0"/>
                <w:sz w:val="17"/>
              </w:rPr>
              <w:t>Novartis 20-F 2019</w:t>
            </w:r>
          </w:p>
        </w:tc>
        <w:tc>
          <w:tcPr>
            <w:tcW w:type="dxa" w:w="4752"/>
            <w:vAlign w:val="center"/>
            <w:shd w:fill="FFFFFF"/>
          </w:tcPr>
          <w:p>
            <w:r/>
            <w:r>
              <w:rPr>
                <w:rFonts w:ascii="Aptos" w:hAnsi="Aptos"/>
                <w:b w:val="0"/>
                <w:sz w:val="17"/>
              </w:rPr>
              <w:t>Annual report noting discontinuation of QAW039 in asthma</w:t>
            </w:r>
          </w:p>
        </w:tc>
        <w:tc>
          <w:tcPr>
            <w:tcW w:type="dxa" w:w="3312"/>
            <w:vAlign w:val="center"/>
            <w:shd w:fill="FFFFFF"/>
          </w:tcPr>
          <w:p>
            <w:r/>
            <w:r>
              <w:rPr>
                <w:rFonts w:ascii="Aptos" w:hAnsi="Aptos"/>
                <w:b w:val="0"/>
                <w:sz w:val="17"/>
              </w:rPr>
              <w:t>https://www.novartis.com/sites/novartis_com/files/novartis-20-f-2019.pdf</w:t>
            </w:r>
          </w:p>
        </w:tc>
      </w:tr>
    </w:tbl>
    <w:p>
      <w:pPr>
        <w:spacing w:after="40"/>
      </w:pPr>
    </w:p>
    <w:p>
      <w:pPr>
        <w:pStyle w:val="Heading1"/>
        <w:keepNext/>
      </w:pPr>
      <w:r>
        <w:t>12. Qualification and Review Status</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center"/>
            <w:shd w:fill="137C7B"/>
          </w:tcPr>
          <w:p>
            <w:r/>
            <w:r>
              <w:rPr>
                <w:rFonts w:ascii="Aptos" w:hAnsi="Aptos"/>
                <w:b/>
                <w:color w:val="FFFFFF"/>
                <w:sz w:val="17"/>
              </w:rPr>
              <w:t>Control</w:t>
            </w:r>
          </w:p>
        </w:tc>
        <w:tc>
          <w:tcPr>
            <w:tcW w:type="dxa" w:w="7056"/>
            <w:vAlign w:val="center"/>
            <w:shd w:fill="137C7B"/>
          </w:tcPr>
          <w:p>
            <w:r/>
            <w:r>
              <w:rPr>
                <w:rFonts w:ascii="Aptos" w:hAnsi="Aptos"/>
                <w:b/>
                <w:color w:val="FFFFFF"/>
                <w:sz w:val="17"/>
              </w:rPr>
              <w:t>Status</w:t>
            </w:r>
          </w:p>
        </w:tc>
      </w:tr>
      <w:tr>
        <w:tc>
          <w:tcPr>
            <w:tcW w:type="dxa" w:w="3168"/>
            <w:vAlign w:val="center"/>
            <w:shd w:fill="FFFFFF"/>
          </w:tcPr>
          <w:p>
            <w:r/>
            <w:r>
              <w:rPr>
                <w:rFonts w:ascii="Aptos" w:hAnsi="Aptos"/>
                <w:b w:val="0"/>
                <w:sz w:val="17"/>
              </w:rPr>
              <w:t>Business SOP consulted</w:t>
            </w:r>
          </w:p>
        </w:tc>
        <w:tc>
          <w:tcPr>
            <w:tcW w:type="dxa" w:w="7056"/>
            <w:vAlign w:val="center"/>
            <w:shd w:fill="FFFFFF"/>
          </w:tcPr>
          <w:p>
            <w:r/>
            <w:r>
              <w:rPr>
                <w:rFonts w:ascii="Aptos" w:hAnsi="Aptos"/>
                <w:b w:val="0"/>
                <w:sz w:val="17"/>
              </w:rPr>
              <w:t>Owner-supplied Product Appraisal SOP used as structural reference</w:t>
            </w:r>
          </w:p>
        </w:tc>
      </w:tr>
      <w:tr>
        <w:tc>
          <w:tcPr>
            <w:tcW w:type="dxa" w:w="3168"/>
            <w:vAlign w:val="center"/>
            <w:shd w:fill="F2F4F6"/>
          </w:tcPr>
          <w:p>
            <w:r/>
            <w:r>
              <w:rPr>
                <w:rFonts w:ascii="Aptos" w:hAnsi="Aptos"/>
                <w:b w:val="0"/>
                <w:sz w:val="17"/>
              </w:rPr>
              <w:t>Skill consulted</w:t>
            </w:r>
          </w:p>
        </w:tc>
        <w:tc>
          <w:tcPr>
            <w:tcW w:type="dxa" w:w="7056"/>
            <w:vAlign w:val="center"/>
            <w:shd w:fill="F2F4F6"/>
          </w:tcPr>
          <w:p>
            <w:r/>
            <w:r>
              <w:rPr>
                <w:rFonts w:ascii="Aptos" w:hAnsi="Aptos"/>
                <w:b w:val="0"/>
                <w:sz w:val="17"/>
              </w:rPr>
              <w:t>Owner-supplied Pharma Product Appraisal Skill Template used for scoring and content architecture</w:t>
            </w:r>
          </w:p>
        </w:tc>
      </w:tr>
      <w:tr>
        <w:tc>
          <w:tcPr>
            <w:tcW w:type="dxa" w:w="3168"/>
            <w:vAlign w:val="center"/>
            <w:shd w:fill="FFFFFF"/>
          </w:tcPr>
          <w:p>
            <w:r/>
            <w:r>
              <w:rPr>
                <w:rFonts w:ascii="Aptos" w:hAnsi="Aptos"/>
                <w:b w:val="0"/>
                <w:sz w:val="17"/>
              </w:rPr>
              <w:t>Evidence handling</w:t>
            </w:r>
          </w:p>
        </w:tc>
        <w:tc>
          <w:tcPr>
            <w:tcW w:type="dxa" w:w="7056"/>
            <w:vAlign w:val="center"/>
            <w:shd w:fill="FFFFFF"/>
          </w:tcPr>
          <w:p>
            <w:r/>
            <w:r>
              <w:rPr>
                <w:rFonts w:ascii="Aptos" w:hAnsi="Aptos"/>
                <w:b w:val="0"/>
                <w:sz w:val="17"/>
              </w:rPr>
              <w:t>Authoritative and peer-reviewed sources used; unavailable data explicitly marked</w:t>
            </w:r>
          </w:p>
        </w:tc>
      </w:tr>
      <w:tr>
        <w:tc>
          <w:tcPr>
            <w:tcW w:type="dxa" w:w="3168"/>
            <w:vAlign w:val="center"/>
            <w:shd w:fill="F2F4F6"/>
          </w:tcPr>
          <w:p>
            <w:r/>
            <w:r>
              <w:rPr>
                <w:rFonts w:ascii="Aptos" w:hAnsi="Aptos"/>
                <w:b w:val="0"/>
                <w:sz w:val="17"/>
              </w:rPr>
              <w:t>AI-generated content</w:t>
            </w:r>
          </w:p>
        </w:tc>
        <w:tc>
          <w:tcPr>
            <w:tcW w:type="dxa" w:w="7056"/>
            <w:vAlign w:val="center"/>
            <w:shd w:fill="F2F4F6"/>
          </w:tcPr>
          <w:p>
            <w:r/>
            <w:r>
              <w:rPr>
                <w:rFonts w:ascii="Aptos" w:hAnsi="Aptos"/>
                <w:b w:val="0"/>
                <w:sz w:val="17"/>
              </w:rPr>
              <w:t>Qualification draft requiring qualified human review</w:t>
            </w:r>
          </w:p>
        </w:tc>
      </w:tr>
      <w:tr>
        <w:tc>
          <w:tcPr>
            <w:tcW w:type="dxa" w:w="3168"/>
            <w:vAlign w:val="center"/>
            <w:shd w:fill="FFFFFF"/>
          </w:tcPr>
          <w:p>
            <w:r/>
            <w:r>
              <w:rPr>
                <w:rFonts w:ascii="Aptos" w:hAnsi="Aptos"/>
                <w:b w:val="0"/>
                <w:sz w:val="17"/>
              </w:rPr>
              <w:t>Internal approval</w:t>
            </w:r>
          </w:p>
        </w:tc>
        <w:tc>
          <w:tcPr>
            <w:tcW w:type="dxa" w:w="7056"/>
            <w:vAlign w:val="center"/>
            <w:shd w:fill="FFFFFF"/>
          </w:tcPr>
          <w:p>
            <w:r/>
            <w:r>
              <w:rPr>
                <w:rFonts w:ascii="Aptos" w:hAnsi="Aptos"/>
                <w:b w:val="0"/>
                <w:sz w:val="17"/>
              </w:rPr>
              <w:t>Pending qualification review</w:t>
            </w:r>
          </w:p>
        </w:tc>
      </w:tr>
      <w:tr>
        <w:tc>
          <w:tcPr>
            <w:tcW w:type="dxa" w:w="3168"/>
            <w:vAlign w:val="center"/>
            <w:shd w:fill="F2F4F6"/>
          </w:tcPr>
          <w:p>
            <w:r/>
            <w:r>
              <w:rPr>
                <w:rFonts w:ascii="Aptos" w:hAnsi="Aptos"/>
                <w:b w:val="0"/>
                <w:sz w:val="17"/>
              </w:rPr>
              <w:t>External use</w:t>
            </w:r>
          </w:p>
        </w:tc>
        <w:tc>
          <w:tcPr>
            <w:tcW w:type="dxa" w:w="7056"/>
            <w:vAlign w:val="center"/>
            <w:shd w:fill="F2F4F6"/>
          </w:tcPr>
          <w:p>
            <w:r/>
            <w:r>
              <w:rPr>
                <w:rFonts w:ascii="Aptos" w:hAnsi="Aptos"/>
                <w:b w:val="0"/>
                <w:sz w:val="17"/>
              </w:rPr>
              <w:t>Prohibited</w:t>
            </w:r>
          </w:p>
        </w:tc>
      </w:tr>
    </w:tbl>
    <w:p>
      <w:pPr>
        <w:spacing w:after="40"/>
      </w:pP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882"/>
        <w:sz w:val="14"/>
      </w:rPr>
      <w:t>ClinCommand OS | Internal Qualification Output | Dr. Bhupesh Dewan, Mumbai, Maharashtra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7C7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2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