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37C7B"/>
          <w:sz w:val="26"/>
        </w:rPr>
        <w:t>CLINCOMMAND OS</w:t>
      </w:r>
    </w:p>
    <w:p>
      <w:pPr>
        <w:pStyle w:val="Title"/>
        <w:jc w:val="center"/>
      </w:pPr>
      <w:r>
        <w:t>Product Appraisal</w:t>
        <w:br/>
        <w:t>Olonacimab</w:t>
      </w:r>
    </w:p>
    <w:p>
      <w:pPr>
        <w:jc w:val="center"/>
      </w:pPr>
      <w:r>
        <w:rPr>
          <w:i/>
          <w:color w:val="18324A"/>
          <w:sz w:val="24"/>
        </w:rPr>
        <w:t>Preliminary India Portfolio and Medical-Strategy Appraisal</w:t>
      </w:r>
    </w:p>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37C7B"/>
          </w:tcPr>
          <w:p>
            <w:r/>
            <w:r>
              <w:rPr>
                <w:rFonts w:ascii="Aptos" w:hAnsi="Aptos"/>
                <w:b/>
                <w:color w:val="FFFFFF"/>
                <w:sz w:val="17"/>
              </w:rPr>
              <w:t>Control Field</w:t>
            </w:r>
          </w:p>
        </w:tc>
        <w:tc>
          <w:tcPr>
            <w:tcW w:type="dxa" w:w="7632"/>
            <w:vAlign w:val="center"/>
            <w:shd w:fill="137C7B"/>
          </w:tcPr>
          <w:p>
            <w:r/>
            <w:r>
              <w:rPr>
                <w:rFonts w:ascii="Aptos" w:hAnsi="Aptos"/>
                <w:b/>
                <w:color w:val="FFFFFF"/>
                <w:sz w:val="17"/>
              </w:rPr>
              <w:t>Value</w:t>
            </w:r>
          </w:p>
        </w:tc>
      </w:tr>
      <w:tr>
        <w:tc>
          <w:tcPr>
            <w:tcW w:type="dxa" w:w="2592"/>
            <w:vAlign w:val="center"/>
            <w:shd w:fill="FFFFFF"/>
          </w:tcPr>
          <w:p>
            <w:r/>
            <w:r>
              <w:rPr>
                <w:rFonts w:ascii="Aptos" w:hAnsi="Aptos"/>
                <w:b w:val="0"/>
                <w:sz w:val="17"/>
              </w:rPr>
              <w:t>Qualification run</w:t>
            </w:r>
          </w:p>
        </w:tc>
        <w:tc>
          <w:tcPr>
            <w:tcW w:type="dxa" w:w="7632"/>
            <w:vAlign w:val="center"/>
            <w:shd w:fill="FFFFFF"/>
          </w:tcPr>
          <w:p>
            <w:r/>
            <w:r>
              <w:rPr>
                <w:rFonts w:ascii="Aptos" w:hAnsi="Aptos"/>
                <w:b w:val="0"/>
                <w:sz w:val="17"/>
              </w:rPr>
              <w:t>PA-Q4</w:t>
            </w:r>
          </w:p>
        </w:tc>
      </w:tr>
      <w:tr>
        <w:tc>
          <w:tcPr>
            <w:tcW w:type="dxa" w:w="2592"/>
            <w:vAlign w:val="center"/>
            <w:shd w:fill="F2F4F6"/>
          </w:tcPr>
          <w:p>
            <w:r/>
            <w:r>
              <w:rPr>
                <w:rFonts w:ascii="Aptos" w:hAnsi="Aptos"/>
                <w:b w:val="0"/>
                <w:sz w:val="17"/>
              </w:rPr>
              <w:t>Verified INN</w:t>
            </w:r>
          </w:p>
        </w:tc>
        <w:tc>
          <w:tcPr>
            <w:tcW w:type="dxa" w:w="7632"/>
            <w:vAlign w:val="center"/>
            <w:shd w:fill="F2F4F6"/>
          </w:tcPr>
          <w:p>
            <w:r/>
            <w:r>
              <w:rPr>
                <w:rFonts w:ascii="Aptos" w:hAnsi="Aptos"/>
                <w:b w:val="0"/>
                <w:sz w:val="17"/>
              </w:rPr>
              <w:t>Olokizumab</w:t>
            </w:r>
          </w:p>
        </w:tc>
      </w:tr>
      <w:tr>
        <w:tc>
          <w:tcPr>
            <w:tcW w:type="dxa" w:w="2592"/>
            <w:vAlign w:val="center"/>
            <w:shd w:fill="FFFFFF"/>
          </w:tcPr>
          <w:p>
            <w:r/>
            <w:r>
              <w:rPr>
                <w:rFonts w:ascii="Aptos" w:hAnsi="Aptos"/>
                <w:b w:val="0"/>
                <w:sz w:val="17"/>
              </w:rPr>
              <w:t>Intended use</w:t>
            </w:r>
          </w:p>
        </w:tc>
        <w:tc>
          <w:tcPr>
            <w:tcW w:type="dxa" w:w="7632"/>
            <w:vAlign w:val="center"/>
            <w:shd w:fill="FFFFFF"/>
          </w:tcPr>
          <w:p>
            <w:r/>
            <w:r>
              <w:rPr>
                <w:rFonts w:ascii="Aptos" w:hAnsi="Aptos"/>
                <w:b w:val="0"/>
                <w:sz w:val="17"/>
              </w:rPr>
              <w:t>Internal preliminary portfolio and medical-strategy appraisal</w:t>
            </w:r>
          </w:p>
        </w:tc>
      </w:tr>
      <w:tr>
        <w:tc>
          <w:tcPr>
            <w:tcW w:type="dxa" w:w="2592"/>
            <w:vAlign w:val="center"/>
            <w:shd w:fill="F2F4F6"/>
          </w:tcPr>
          <w:p>
            <w:r/>
            <w:r>
              <w:rPr>
                <w:rFonts w:ascii="Aptos" w:hAnsi="Aptos"/>
                <w:b w:val="0"/>
                <w:sz w:val="17"/>
              </w:rPr>
              <w:t>Evidence cut-off</w:t>
            </w:r>
          </w:p>
        </w:tc>
        <w:tc>
          <w:tcPr>
            <w:tcW w:type="dxa" w:w="7632"/>
            <w:vAlign w:val="center"/>
            <w:shd w:fill="F2F4F6"/>
          </w:tcPr>
          <w:p>
            <w:r/>
            <w:r>
              <w:rPr>
                <w:rFonts w:ascii="Aptos" w:hAnsi="Aptos"/>
                <w:b w:val="0"/>
                <w:sz w:val="17"/>
              </w:rPr>
              <w:t>6 June 2026</w:t>
            </w:r>
          </w:p>
        </w:tc>
      </w:tr>
      <w:tr>
        <w:tc>
          <w:tcPr>
            <w:tcW w:type="dxa" w:w="2592"/>
            <w:vAlign w:val="center"/>
            <w:shd w:fill="FFFFFF"/>
          </w:tcPr>
          <w:p>
            <w:r/>
            <w:r>
              <w:rPr>
                <w:rFonts w:ascii="Aptos" w:hAnsi="Aptos"/>
                <w:b w:val="0"/>
                <w:sz w:val="17"/>
              </w:rPr>
              <w:t>Document status</w:t>
            </w:r>
          </w:p>
        </w:tc>
        <w:tc>
          <w:tcPr>
            <w:tcW w:type="dxa" w:w="7632"/>
            <w:vAlign w:val="center"/>
            <w:shd w:fill="FFFFFF"/>
          </w:tcPr>
          <w:p>
            <w:r/>
            <w:r>
              <w:rPr>
                <w:rFonts w:ascii="Aptos" w:hAnsi="Aptos"/>
                <w:b w:val="0"/>
                <w:sz w:val="17"/>
              </w:rPr>
              <w:t>Qualification draft - not approved for external use or final Go/No-Go decision</w:t>
            </w:r>
          </w:p>
        </w:tc>
      </w:tr>
      <w:tr>
        <w:tc>
          <w:tcPr>
            <w:tcW w:type="dxa" w:w="2592"/>
            <w:vAlign w:val="center"/>
            <w:shd w:fill="F2F4F6"/>
          </w:tcPr>
          <w:p>
            <w:r/>
            <w:r>
              <w:rPr>
                <w:rFonts w:ascii="Aptos" w:hAnsi="Aptos"/>
                <w:b w:val="0"/>
                <w:sz w:val="17"/>
              </w:rPr>
              <w:t>Owner</w:t>
            </w:r>
          </w:p>
        </w:tc>
        <w:tc>
          <w:tcPr>
            <w:tcW w:type="dxa" w:w="7632"/>
            <w:vAlign w:val="center"/>
            <w:shd w:fill="F2F4F6"/>
          </w:tcPr>
          <w:p>
            <w:r/>
            <w:r>
              <w:rPr>
                <w:rFonts w:ascii="Aptos" w:hAnsi="Aptos"/>
                <w:b w:val="0"/>
                <w:sz w:val="17"/>
              </w:rPr>
              <w:t>Dr. Bhupesh Dewan, Mumbai, Maharashtra, India</w:t>
            </w:r>
          </w:p>
        </w:tc>
      </w:tr>
    </w:tbl>
    <w:p>
      <w:pPr>
        <w:spacing w:after="40"/>
      </w:pPr>
    </w:p>
    <w:p>
      <w:pPr>
        <w:spacing w:before="400"/>
        <w:jc w:val="center"/>
      </w:pPr>
      <w:r>
        <w:rPr>
          <w:b/>
          <w:color w:val="A34A00"/>
        </w:rPr>
        <w:t>IMPORTANT LIMITATION</w:t>
        <w:br/>
      </w:r>
      <w:r>
        <w:rPr>
          <w:sz w:val="19"/>
        </w:rPr>
        <w:t>This appraisal is an architecture qualification output. Missing regulatory, patent, legal, pricing, market, CMC, API, supply, and company-strategy information is explicitly classified as data gaps and diligence gaps, not inferred.</w:t>
      </w:r>
    </w:p>
    <w:p>
      <w:r>
        <w:br w:type="page"/>
      </w:r>
    </w:p>
    <w:p>
      <w:pPr>
        <w:pStyle w:val="Heading1"/>
        <w:keepNext/>
      </w:pPr>
      <w:r>
        <w:t>1. Executive Decision Summary</w:t>
      </w:r>
    </w:p>
    <w:tbl>
      <w:tblPr>
        <w:tblStyle w:val="TableGrid"/>
        <w:tblW w:type="auto" w:w="0"/>
        <w:jc w:val="center"/>
        <w:tblLayout w:type="fixed"/>
        <w:tblLook w:firstColumn="1" w:firstRow="1" w:lastColumn="0" w:lastRow="0" w:noHBand="0" w:noVBand="1" w:val="04A0"/>
      </w:tblPr>
      <w:tblGrid>
        <w:gridCol w:w="5040"/>
        <w:gridCol w:w="5040"/>
      </w:tblGrid>
      <w:tr>
        <w:tc>
          <w:tcPr>
            <w:tcW w:type="dxa" w:w="2376"/>
            <w:vAlign w:val="center"/>
            <w:shd w:fill="137C7B"/>
          </w:tcPr>
          <w:p>
            <w:r/>
            <w:r>
              <w:rPr>
                <w:rFonts w:ascii="Aptos" w:hAnsi="Aptos"/>
                <w:b/>
                <w:color w:val="FFFFFF"/>
                <w:sz w:val="17"/>
              </w:rPr>
              <w:t>Decision Item</w:t>
            </w:r>
          </w:p>
        </w:tc>
        <w:tc>
          <w:tcPr>
            <w:tcW w:type="dxa" w:w="7848"/>
            <w:vAlign w:val="center"/>
            <w:shd w:fill="137C7B"/>
          </w:tcPr>
          <w:p>
            <w:r/>
            <w:r>
              <w:rPr>
                <w:rFonts w:ascii="Aptos" w:hAnsi="Aptos"/>
                <w:b/>
                <w:color w:val="FFFFFF"/>
                <w:sz w:val="17"/>
              </w:rPr>
              <w:t>Assessment</w:t>
            </w:r>
          </w:p>
        </w:tc>
      </w:tr>
      <w:tr>
        <w:tc>
          <w:tcPr>
            <w:tcW w:type="dxa" w:w="2376"/>
            <w:vAlign w:val="center"/>
            <w:shd w:fill="FFFFFF"/>
          </w:tcPr>
          <w:p>
            <w:r/>
            <w:r>
              <w:rPr>
                <w:rFonts w:ascii="Aptos" w:hAnsi="Aptos"/>
                <w:b w:val="0"/>
                <w:sz w:val="17"/>
              </w:rPr>
              <w:t>Objective</w:t>
            </w:r>
          </w:p>
        </w:tc>
        <w:tc>
          <w:tcPr>
            <w:tcW w:type="dxa" w:w="7848"/>
            <w:vAlign w:val="center"/>
            <w:shd w:fill="FFFFFF"/>
          </w:tcPr>
          <w:p>
            <w:r/>
            <w:r>
              <w:rPr>
                <w:rFonts w:ascii="Aptos" w:hAnsi="Aptos"/>
                <w:b w:val="0"/>
                <w:sz w:val="17"/>
              </w:rPr>
              <w:t>Assess the requested biologic candidate while resolving the identity risk and determining whether any development path is commercially and operationally sensible.</w:t>
            </w:r>
          </w:p>
        </w:tc>
      </w:tr>
      <w:tr>
        <w:tc>
          <w:tcPr>
            <w:tcW w:type="dxa" w:w="2376"/>
            <w:vAlign w:val="center"/>
            <w:shd w:fill="F2F4F6"/>
          </w:tcPr>
          <w:p>
            <w:r/>
            <w:r>
              <w:rPr>
                <w:rFonts w:ascii="Aptos" w:hAnsi="Aptos"/>
                <w:b w:val="0"/>
                <w:sz w:val="17"/>
              </w:rPr>
              <w:t>Preliminary status</w:t>
            </w:r>
          </w:p>
        </w:tc>
        <w:tc>
          <w:tcPr>
            <w:tcW w:type="dxa" w:w="7848"/>
            <w:vAlign w:val="center"/>
            <w:shd w:fill="F2F4F6"/>
          </w:tcPr>
          <w:p>
            <w:r/>
            <w:r>
              <w:rPr>
                <w:rFonts w:ascii="Aptos" w:hAnsi="Aptos"/>
                <w:b w:val="0"/>
                <w:sz w:val="17"/>
              </w:rPr>
              <w:t>No-Go as requested; conditional diligence only if the molecule is corrected to olokizumab and rights/data access are secured</w:t>
            </w:r>
          </w:p>
        </w:tc>
      </w:tr>
      <w:tr>
        <w:tc>
          <w:tcPr>
            <w:tcW w:type="dxa" w:w="2376"/>
            <w:vAlign w:val="center"/>
            <w:shd w:fill="FFFFFF"/>
          </w:tcPr>
          <w:p>
            <w:r/>
            <w:r>
              <w:rPr>
                <w:rFonts w:ascii="Aptos" w:hAnsi="Aptos"/>
                <w:b w:val="0"/>
                <w:sz w:val="17"/>
              </w:rPr>
              <w:t>Recommendation</w:t>
            </w:r>
          </w:p>
        </w:tc>
        <w:tc>
          <w:tcPr>
            <w:tcW w:type="dxa" w:w="7848"/>
            <w:vAlign w:val="center"/>
            <w:shd w:fill="FFFFFF"/>
          </w:tcPr>
          <w:p>
            <w:r/>
            <w:r>
              <w:rPr>
                <w:rFonts w:ascii="Aptos" w:hAnsi="Aptos"/>
                <w:b w:val="0"/>
                <w:sz w:val="17"/>
              </w:rPr>
              <w:t>Do not progress the project as 'Olonacimab' because the name could not be verified. If the intention was olokizumab, the molecule remains a high-complexity biologic with no verified major-market approval and should be considered only for partnership or due-diligence review, not immediate standalone development.</w:t>
            </w:r>
          </w:p>
        </w:tc>
      </w:tr>
      <w:tr>
        <w:tc>
          <w:tcPr>
            <w:tcW w:type="dxa" w:w="2376"/>
            <w:vAlign w:val="center"/>
            <w:shd w:fill="F2F4F6"/>
          </w:tcPr>
          <w:p>
            <w:r/>
            <w:r>
              <w:rPr>
                <w:rFonts w:ascii="Aptos" w:hAnsi="Aptos"/>
                <w:b w:val="0"/>
                <w:sz w:val="17"/>
              </w:rPr>
              <w:t>Identity/control note</w:t>
            </w:r>
          </w:p>
        </w:tc>
        <w:tc>
          <w:tcPr>
            <w:tcW w:type="dxa" w:w="7848"/>
            <w:vAlign w:val="center"/>
            <w:shd w:fill="F2F4F6"/>
          </w:tcPr>
          <w:p>
            <w:r/>
            <w:r>
              <w:rPr>
                <w:rFonts w:ascii="Aptos" w:hAnsi="Aptos"/>
                <w:b w:val="0"/>
                <w:sz w:val="17"/>
              </w:rPr>
              <w:t>The requested name 'Olonacimab' could not be verified in the source run. The most probable match is olokizumab, an IL-6 ligand monoclonal antibody; the identity ambiguity is itself a release-blocking risk.</w:t>
            </w:r>
          </w:p>
        </w:tc>
      </w:tr>
    </w:tbl>
    <w:p>
      <w:pPr>
        <w:spacing w:after="40"/>
      </w:pPr>
    </w:p>
    <w:p>
      <w:pPr>
        <w:pStyle w:val="Heading1"/>
        <w:keepNext/>
      </w:pPr>
      <w:r>
        <w:t>2. Product Identification and Assessment Scope</w:t>
      </w:r>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8324A"/>
          </w:tcPr>
          <w:p>
            <w:r/>
            <w:r>
              <w:rPr>
                <w:rFonts w:ascii="Aptos" w:hAnsi="Aptos"/>
                <w:b/>
                <w:color w:val="FFFFFF"/>
                <w:sz w:val="17"/>
              </w:rPr>
              <w:t>Field</w:t>
            </w:r>
          </w:p>
        </w:tc>
        <w:tc>
          <w:tcPr>
            <w:tcW w:type="dxa" w:w="7632"/>
            <w:vAlign w:val="center"/>
            <w:shd w:fill="18324A"/>
          </w:tcPr>
          <w:p>
            <w:r/>
            <w:r>
              <w:rPr>
                <w:rFonts w:ascii="Aptos" w:hAnsi="Aptos"/>
                <w:b/>
                <w:color w:val="FFFFFF"/>
                <w:sz w:val="17"/>
              </w:rPr>
              <w:t>Verified or Qualified Finding</w:t>
            </w:r>
          </w:p>
        </w:tc>
      </w:tr>
      <w:tr>
        <w:tc>
          <w:tcPr>
            <w:tcW w:type="dxa" w:w="2592"/>
            <w:vAlign w:val="center"/>
            <w:shd w:fill="FFFFFF"/>
          </w:tcPr>
          <w:p>
            <w:r/>
            <w:r>
              <w:rPr>
                <w:rFonts w:ascii="Aptos" w:hAnsi="Aptos"/>
                <w:b w:val="0"/>
                <w:sz w:val="17"/>
              </w:rPr>
              <w:t>Requested name</w:t>
            </w:r>
          </w:p>
        </w:tc>
        <w:tc>
          <w:tcPr>
            <w:tcW w:type="dxa" w:w="7632"/>
            <w:vAlign w:val="center"/>
            <w:shd w:fill="FFFFFF"/>
          </w:tcPr>
          <w:p>
            <w:r/>
            <w:r>
              <w:rPr>
                <w:rFonts w:ascii="Aptos" w:hAnsi="Aptos"/>
                <w:b w:val="0"/>
                <w:sz w:val="17"/>
              </w:rPr>
              <w:t>Olonacimab</w:t>
            </w:r>
          </w:p>
        </w:tc>
      </w:tr>
      <w:tr>
        <w:tc>
          <w:tcPr>
            <w:tcW w:type="dxa" w:w="2592"/>
            <w:vAlign w:val="center"/>
            <w:shd w:fill="F2F4F6"/>
          </w:tcPr>
          <w:p>
            <w:r/>
            <w:r>
              <w:rPr>
                <w:rFonts w:ascii="Aptos" w:hAnsi="Aptos"/>
                <w:b w:val="0"/>
                <w:sz w:val="17"/>
              </w:rPr>
              <w:t>Probable verified INN</w:t>
            </w:r>
          </w:p>
        </w:tc>
        <w:tc>
          <w:tcPr>
            <w:tcW w:type="dxa" w:w="7632"/>
            <w:vAlign w:val="center"/>
            <w:shd w:fill="F2F4F6"/>
          </w:tcPr>
          <w:p>
            <w:r/>
            <w:r>
              <w:rPr>
                <w:rFonts w:ascii="Aptos" w:hAnsi="Aptos"/>
                <w:b w:val="0"/>
                <w:sz w:val="17"/>
              </w:rPr>
              <w:t>Olokizumab</w:t>
            </w:r>
          </w:p>
        </w:tc>
      </w:tr>
      <w:tr>
        <w:tc>
          <w:tcPr>
            <w:tcW w:type="dxa" w:w="2592"/>
            <w:vAlign w:val="center"/>
            <w:shd w:fill="FFFFFF"/>
          </w:tcPr>
          <w:p>
            <w:r/>
            <w:r>
              <w:rPr>
                <w:rFonts w:ascii="Aptos" w:hAnsi="Aptos"/>
                <w:b w:val="0"/>
                <w:sz w:val="17"/>
              </w:rPr>
              <w:t>Class</w:t>
            </w:r>
          </w:p>
        </w:tc>
        <w:tc>
          <w:tcPr>
            <w:tcW w:type="dxa" w:w="7632"/>
            <w:vAlign w:val="center"/>
            <w:shd w:fill="FFFFFF"/>
          </w:tcPr>
          <w:p>
            <w:r/>
            <w:r>
              <w:rPr>
                <w:rFonts w:ascii="Aptos" w:hAnsi="Aptos"/>
                <w:b w:val="0"/>
                <w:sz w:val="17"/>
              </w:rPr>
              <w:t>Monoclonal antibody against interleukin-6</w:t>
            </w:r>
          </w:p>
        </w:tc>
      </w:tr>
      <w:tr>
        <w:tc>
          <w:tcPr>
            <w:tcW w:type="dxa" w:w="2592"/>
            <w:vAlign w:val="center"/>
            <w:shd w:fill="F2F4F6"/>
          </w:tcPr>
          <w:p>
            <w:r/>
            <w:r>
              <w:rPr>
                <w:rFonts w:ascii="Aptos" w:hAnsi="Aptos"/>
                <w:b w:val="0"/>
                <w:sz w:val="17"/>
              </w:rPr>
              <w:t>Clinical-development context</w:t>
            </w:r>
          </w:p>
        </w:tc>
        <w:tc>
          <w:tcPr>
            <w:tcW w:type="dxa" w:w="7632"/>
            <w:vAlign w:val="center"/>
            <w:shd w:fill="F2F4F6"/>
          </w:tcPr>
          <w:p>
            <w:r/>
            <w:r>
              <w:rPr>
                <w:rFonts w:ascii="Aptos" w:hAnsi="Aptos"/>
                <w:b w:val="0"/>
                <w:sz w:val="17"/>
              </w:rPr>
              <w:t>CDSCO has permitted an Indian phase III clinical trial in moderate-to-severe rheumatoid arthritis</w:t>
            </w:r>
          </w:p>
        </w:tc>
      </w:tr>
      <w:tr>
        <w:tc>
          <w:tcPr>
            <w:tcW w:type="dxa" w:w="2592"/>
            <w:vAlign w:val="center"/>
            <w:shd w:fill="FFFFFF"/>
          </w:tcPr>
          <w:p>
            <w:r/>
            <w:r>
              <w:rPr>
                <w:rFonts w:ascii="Aptos" w:hAnsi="Aptos"/>
                <w:b w:val="0"/>
                <w:sz w:val="17"/>
              </w:rPr>
              <w:t>India approval status</w:t>
            </w:r>
          </w:p>
        </w:tc>
        <w:tc>
          <w:tcPr>
            <w:tcW w:type="dxa" w:w="7632"/>
            <w:vAlign w:val="center"/>
            <w:shd w:fill="FFFFFF"/>
          </w:tcPr>
          <w:p>
            <w:r/>
            <w:r>
              <w:rPr>
                <w:rFonts w:ascii="Aptos" w:hAnsi="Aptos"/>
                <w:b w:val="0"/>
                <w:sz w:val="17"/>
              </w:rPr>
              <w:t>No verified India marketing authorization found in this run</w:t>
            </w:r>
          </w:p>
        </w:tc>
      </w:tr>
      <w:tr>
        <w:tc>
          <w:tcPr>
            <w:tcW w:type="dxa" w:w="2592"/>
            <w:vAlign w:val="center"/>
            <w:shd w:fill="F2F4F6"/>
          </w:tcPr>
          <w:p>
            <w:r/>
            <w:r>
              <w:rPr>
                <w:rFonts w:ascii="Aptos" w:hAnsi="Aptos"/>
                <w:b w:val="0"/>
                <w:sz w:val="17"/>
              </w:rPr>
              <w:t>Assessment geography</w:t>
            </w:r>
          </w:p>
        </w:tc>
        <w:tc>
          <w:tcPr>
            <w:tcW w:type="dxa" w:w="7632"/>
            <w:vAlign w:val="center"/>
            <w:shd w:fill="F2F4F6"/>
          </w:tcPr>
          <w:p>
            <w:r/>
            <w:r>
              <w:rPr>
                <w:rFonts w:ascii="Aptos" w:hAnsi="Aptos"/>
                <w:b w:val="0"/>
                <w:sz w:val="17"/>
              </w:rPr>
              <w:t>India</w:t>
            </w:r>
          </w:p>
        </w:tc>
      </w:tr>
    </w:tbl>
    <w:p>
      <w:pPr>
        <w:spacing w:after="40"/>
      </w:pPr>
    </w:p>
    <w:p>
      <w:pPr>
        <w:pStyle w:val="Heading1"/>
        <w:keepNext/>
      </w:pPr>
      <w:r>
        <w:t>3. Scientific and Strategic Synopsis</w:t>
      </w:r>
    </w:p>
    <w:p>
      <w:r>
        <w:rPr>
          <w:b/>
        </w:rPr>
        <w:t xml:space="preserve">Appraisal interpretation. </w:t>
      </w:r>
      <w:r>
        <w:t>Empagliflozin has a mature, high-quality evidence platform across diabetes, cardiovascular risk, heart failure, and chronic kidney disease. The principal strategic question is not whether the molecule has clinical value, but whether the company can create a differentiated, compliant, affordable, and operationally credible portfolio proposition in a crowded market.</w:t>
      </w:r>
    </w:p>
    <w:p>
      <w:pPr>
        <w:pStyle w:val="Heading1"/>
        <w:keepNext/>
      </w:pPr>
      <w:r>
        <w:t>4. SWOT Assessment</w:t>
      </w: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Strengths</w:t>
            </w:r>
          </w:p>
        </w:tc>
        <w:tc>
          <w:tcPr>
            <w:tcW w:type="dxa" w:w="5112"/>
            <w:vAlign w:val="center"/>
            <w:shd w:fill="137C7B"/>
          </w:tcPr>
          <w:p>
            <w:r/>
            <w:r>
              <w:rPr>
                <w:rFonts w:ascii="Aptos" w:hAnsi="Aptos"/>
                <w:b/>
                <w:color w:val="FFFFFF"/>
                <w:sz w:val="17"/>
              </w:rPr>
              <w:t>Weaknesses</w:t>
            </w:r>
          </w:p>
        </w:tc>
      </w:tr>
      <w:tr>
        <w:tc>
          <w:tcPr>
            <w:tcW w:type="dxa" w:w="5112"/>
            <w:vAlign w:val="center"/>
            <w:shd w:fill="FFFFFF"/>
          </w:tcPr>
          <w:p>
            <w:r/>
            <w:r>
              <w:rPr>
                <w:rFonts w:ascii="Aptos" w:hAnsi="Aptos"/>
                <w:b w:val="0"/>
                <w:sz w:val="17"/>
              </w:rPr>
              <w:t>Biologic mechanism is scientifically credible for rheumatoid arthritis.</w:t>
              <w:br/>
              <w:t>Phase III and meta-analytic data suggest a potentially meaningful anti-inflammatory effect.</w:t>
              <w:br/>
              <w:t>Indian clinical-trial activity indicates local development interest and regulatory visibility.</w:t>
            </w:r>
          </w:p>
        </w:tc>
        <w:tc>
          <w:tcPr>
            <w:tcW w:type="dxa" w:w="5112"/>
            <w:vAlign w:val="center"/>
            <w:shd w:fill="FFFFFF"/>
          </w:tcPr>
          <w:p>
            <w:r/>
            <w:r>
              <w:rPr>
                <w:rFonts w:ascii="Aptos" w:hAnsi="Aptos"/>
                <w:b w:val="0"/>
                <w:sz w:val="17"/>
              </w:rPr>
              <w:t>The requested name is not verified, which makes immediate planning unsafe.</w:t>
              <w:br/>
              <w:t>No major-market approval was verified in the current run.</w:t>
              <w:br/>
              <w:t>Biologic development adds CMC, comparability, immunogenicity, and supply-chain complexity.</w:t>
              <w:br/>
              <w:t>Competitive RA biologic positioning is crowded and capital intensive.</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Opportunities</w:t>
            </w:r>
          </w:p>
        </w:tc>
        <w:tc>
          <w:tcPr>
            <w:tcW w:type="dxa" w:w="5112"/>
            <w:vAlign w:val="center"/>
            <w:shd w:fill="137C7B"/>
          </w:tcPr>
          <w:p>
            <w:r/>
            <w:r>
              <w:rPr>
                <w:rFonts w:ascii="Aptos" w:hAnsi="Aptos"/>
                <w:b/>
                <w:color w:val="FFFFFF"/>
                <w:sz w:val="17"/>
              </w:rPr>
              <w:t>Threats</w:t>
            </w:r>
          </w:p>
        </w:tc>
      </w:tr>
      <w:tr>
        <w:tc>
          <w:tcPr>
            <w:tcW w:type="dxa" w:w="5112"/>
            <w:vAlign w:val="center"/>
            <w:shd w:fill="FFFFFF"/>
          </w:tcPr>
          <w:p>
            <w:r/>
            <w:r>
              <w:rPr>
                <w:rFonts w:ascii="Aptos" w:hAnsi="Aptos"/>
                <w:b w:val="0"/>
                <w:sz w:val="17"/>
              </w:rPr>
              <w:t>If the sponsor rights are secured, the asset could merit a due-diligence partnership review.</w:t>
              <w:br/>
              <w:t>A focused India clinical-development strategy might be possible if the molecule identity is corrected and the data room is complete.</w:t>
              <w:br/>
              <w:t>The program may be relevant for portfolio learning even if it is not a near-term launch choice.</w:t>
            </w:r>
          </w:p>
        </w:tc>
        <w:tc>
          <w:tcPr>
            <w:tcW w:type="dxa" w:w="5112"/>
            <w:vAlign w:val="center"/>
            <w:shd w:fill="FFFFFF"/>
          </w:tcPr>
          <w:p>
            <w:r/>
            <w:r>
              <w:rPr>
                <w:rFonts w:ascii="Aptos" w:hAnsi="Aptos"/>
                <w:b w:val="0"/>
                <w:sz w:val="17"/>
              </w:rPr>
              <w:t>Identity ambiguity can lead to regulatory, scientific, and legal errors.</w:t>
              <w:br/>
              <w:t>No verified market authorization means there is no immediate launch basis.</w:t>
              <w:br/>
              <w:t>Biologic development is expensive and slow, which raises ROI hurdles.</w:t>
              <w:br/>
              <w:t>Competitor therapies already occupy a dense RA treatment landscape.</w:t>
            </w:r>
          </w:p>
        </w:tc>
      </w:tr>
    </w:tbl>
    <w:p>
      <w:pPr>
        <w:spacing w:after="40"/>
      </w:pPr>
    </w:p>
    <w:p>
      <w:pPr>
        <w:pStyle w:val="Heading1"/>
        <w:keepNext/>
      </w:pPr>
      <w:r>
        <w:t>5. Evidence Landscape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016"/>
            <w:vAlign w:val="center"/>
            <w:shd w:fill="18324A"/>
          </w:tcPr>
          <w:p>
            <w:r/>
            <w:r>
              <w:rPr>
                <w:rFonts w:ascii="Aptos" w:hAnsi="Aptos"/>
                <w:b/>
                <w:color w:val="FFFFFF"/>
                <w:sz w:val="17"/>
              </w:rPr>
              <w:t>Evidence</w:t>
            </w:r>
          </w:p>
        </w:tc>
        <w:tc>
          <w:tcPr>
            <w:tcW w:type="dxa" w:w="4608"/>
            <w:vAlign w:val="center"/>
            <w:shd w:fill="18324A"/>
          </w:tcPr>
          <w:p>
            <w:r/>
            <w:r>
              <w:rPr>
                <w:rFonts w:ascii="Aptos" w:hAnsi="Aptos"/>
                <w:b/>
                <w:color w:val="FFFFFF"/>
                <w:sz w:val="17"/>
              </w:rPr>
              <w:t>Relevance</w:t>
            </w:r>
          </w:p>
        </w:tc>
        <w:tc>
          <w:tcPr>
            <w:tcW w:type="dxa" w:w="2376"/>
            <w:vAlign w:val="center"/>
            <w:shd w:fill="18324A"/>
          </w:tcPr>
          <w:p>
            <w:r/>
            <w:r>
              <w:rPr>
                <w:rFonts w:ascii="Aptos" w:hAnsi="Aptos"/>
                <w:b/>
                <w:color w:val="FFFFFF"/>
                <w:sz w:val="17"/>
              </w:rPr>
              <w:t>Source class</w:t>
            </w:r>
          </w:p>
        </w:tc>
        <w:tc>
          <w:tcPr>
            <w:tcW w:type="dxa" w:w="1224"/>
            <w:vAlign w:val="center"/>
            <w:shd w:fill="18324A"/>
          </w:tcPr>
          <w:p>
            <w:r/>
            <w:r>
              <w:rPr>
                <w:rFonts w:ascii="Aptos" w:hAnsi="Aptos"/>
                <w:b/>
                <w:color w:val="FFFFFF"/>
                <w:sz w:val="17"/>
              </w:rPr>
              <w:t>Confidence</w:t>
            </w:r>
          </w:p>
        </w:tc>
      </w:tr>
      <w:tr>
        <w:tc>
          <w:tcPr>
            <w:tcW w:type="dxa" w:w="2016"/>
            <w:vAlign w:val="center"/>
            <w:shd w:fill="FFFFFF"/>
          </w:tcPr>
          <w:p>
            <w:r/>
            <w:r>
              <w:rPr>
                <w:rFonts w:ascii="Aptos" w:hAnsi="Aptos"/>
                <w:b w:val="0"/>
                <w:sz w:val="17"/>
              </w:rPr>
              <w:t>CDSCO trial permit</w:t>
            </w:r>
          </w:p>
        </w:tc>
        <w:tc>
          <w:tcPr>
            <w:tcW w:type="dxa" w:w="4608"/>
            <w:vAlign w:val="center"/>
            <w:shd w:fill="FFFFFF"/>
          </w:tcPr>
          <w:p>
            <w:r/>
            <w:r>
              <w:rPr>
                <w:rFonts w:ascii="Aptos" w:hAnsi="Aptos"/>
                <w:b w:val="0"/>
                <w:sz w:val="17"/>
              </w:rPr>
              <w:t>Indian approval to conduct a phase III olokizumab study in rheumatoid arthritis.</w:t>
            </w:r>
          </w:p>
        </w:tc>
        <w:tc>
          <w:tcPr>
            <w:tcW w:type="dxa" w:w="2376"/>
            <w:vAlign w:val="center"/>
            <w:shd w:fill="FFFFFF"/>
          </w:tcPr>
          <w:p>
            <w:r/>
            <w:r>
              <w:rPr>
                <w:rFonts w:ascii="Aptos" w:hAnsi="Aptos"/>
                <w:b w:val="0"/>
                <w:sz w:val="17"/>
              </w:rPr>
              <w:t>Official Indian regulator record</w:t>
            </w:r>
          </w:p>
        </w:tc>
        <w:tc>
          <w:tcPr>
            <w:tcW w:type="dxa" w:w="1224"/>
            <w:vAlign w:val="center"/>
            <w:shd w:fill="FFFFFF"/>
          </w:tcPr>
          <w:p>
            <w:r/>
            <w:r>
              <w:rPr>
                <w:rFonts w:ascii="Aptos" w:hAnsi="Aptos"/>
                <w:b w:val="0"/>
                <w:sz w:val="17"/>
              </w:rPr>
              <w:t>High</w:t>
            </w:r>
          </w:p>
        </w:tc>
      </w:tr>
      <w:tr>
        <w:tc>
          <w:tcPr>
            <w:tcW w:type="dxa" w:w="2016"/>
            <w:vAlign w:val="center"/>
            <w:shd w:fill="F2F4F6"/>
          </w:tcPr>
          <w:p>
            <w:r/>
            <w:r>
              <w:rPr>
                <w:rFonts w:ascii="Aptos" w:hAnsi="Aptos"/>
                <w:b w:val="0"/>
                <w:sz w:val="17"/>
              </w:rPr>
              <w:t>Phase III MTX-IR study</w:t>
            </w:r>
          </w:p>
        </w:tc>
        <w:tc>
          <w:tcPr>
            <w:tcW w:type="dxa" w:w="4608"/>
            <w:vAlign w:val="center"/>
            <w:shd w:fill="F2F4F6"/>
          </w:tcPr>
          <w:p>
            <w:r/>
            <w:r>
              <w:rPr>
                <w:rFonts w:ascii="Aptos" w:hAnsi="Aptos"/>
                <w:b w:val="0"/>
                <w:sz w:val="17"/>
              </w:rPr>
              <w:t>Olokizumab phase III efficacy and safety in methotrexate-inadequate responders.</w:t>
            </w:r>
          </w:p>
        </w:tc>
        <w:tc>
          <w:tcPr>
            <w:tcW w:type="dxa" w:w="2376"/>
            <w:vAlign w:val="center"/>
            <w:shd w:fill="F2F4F6"/>
          </w:tcPr>
          <w:p>
            <w:r/>
            <w:r>
              <w:rPr>
                <w:rFonts w:ascii="Aptos" w:hAnsi="Aptos"/>
                <w:b w:val="0"/>
                <w:sz w:val="17"/>
              </w:rPr>
              <w:t>Peer-reviewed primary trial</w:t>
            </w:r>
          </w:p>
        </w:tc>
        <w:tc>
          <w:tcPr>
            <w:tcW w:type="dxa" w:w="1224"/>
            <w:vAlign w:val="center"/>
            <w:shd w:fill="F2F4F6"/>
          </w:tcPr>
          <w:p>
            <w:r/>
            <w:r>
              <w:rPr>
                <w:rFonts w:ascii="Aptos" w:hAnsi="Aptos"/>
                <w:b w:val="0"/>
                <w:sz w:val="17"/>
              </w:rPr>
              <w:t>High</w:t>
            </w:r>
          </w:p>
        </w:tc>
      </w:tr>
      <w:tr>
        <w:tc>
          <w:tcPr>
            <w:tcW w:type="dxa" w:w="2016"/>
            <w:vAlign w:val="center"/>
            <w:shd w:fill="FFFFFF"/>
          </w:tcPr>
          <w:p>
            <w:r/>
            <w:r>
              <w:rPr>
                <w:rFonts w:ascii="Aptos" w:hAnsi="Aptos"/>
                <w:b w:val="0"/>
                <w:sz w:val="17"/>
              </w:rPr>
              <w:t>Phase III TNFi-IR study</w:t>
            </w:r>
          </w:p>
        </w:tc>
        <w:tc>
          <w:tcPr>
            <w:tcW w:type="dxa" w:w="4608"/>
            <w:vAlign w:val="center"/>
            <w:shd w:fill="FFFFFF"/>
          </w:tcPr>
          <w:p>
            <w:r/>
            <w:r>
              <w:rPr>
                <w:rFonts w:ascii="Aptos" w:hAnsi="Aptos"/>
                <w:b w:val="0"/>
                <w:sz w:val="17"/>
              </w:rPr>
              <w:t>Olokizumab phase III efficacy and safety in TNF-inhibitor-inadequate responders.</w:t>
            </w:r>
          </w:p>
        </w:tc>
        <w:tc>
          <w:tcPr>
            <w:tcW w:type="dxa" w:w="2376"/>
            <w:vAlign w:val="center"/>
            <w:shd w:fill="FFFFFF"/>
          </w:tcPr>
          <w:p>
            <w:r/>
            <w:r>
              <w:rPr>
                <w:rFonts w:ascii="Aptos" w:hAnsi="Aptos"/>
                <w:b w:val="0"/>
                <w:sz w:val="17"/>
              </w:rPr>
              <w:t>Peer-reviewed primary trial</w:t>
            </w:r>
          </w:p>
        </w:tc>
        <w:tc>
          <w:tcPr>
            <w:tcW w:type="dxa" w:w="1224"/>
            <w:vAlign w:val="center"/>
            <w:shd w:fill="FFFFFF"/>
          </w:tcPr>
          <w:p>
            <w:r/>
            <w:r>
              <w:rPr>
                <w:rFonts w:ascii="Aptos" w:hAnsi="Aptos"/>
                <w:b w:val="0"/>
                <w:sz w:val="17"/>
              </w:rPr>
              <w:t>High</w:t>
            </w:r>
          </w:p>
        </w:tc>
      </w:tr>
      <w:tr>
        <w:tc>
          <w:tcPr>
            <w:tcW w:type="dxa" w:w="2016"/>
            <w:vAlign w:val="center"/>
            <w:shd w:fill="F2F4F6"/>
          </w:tcPr>
          <w:p>
            <w:r/>
            <w:r>
              <w:rPr>
                <w:rFonts w:ascii="Aptos" w:hAnsi="Aptos"/>
                <w:b w:val="0"/>
                <w:sz w:val="17"/>
              </w:rPr>
              <w:t>Systematic review and network meta-analysis</w:t>
            </w:r>
          </w:p>
        </w:tc>
        <w:tc>
          <w:tcPr>
            <w:tcW w:type="dxa" w:w="4608"/>
            <w:vAlign w:val="center"/>
            <w:shd w:fill="F2F4F6"/>
          </w:tcPr>
          <w:p>
            <w:r/>
            <w:r>
              <w:rPr>
                <w:rFonts w:ascii="Aptos" w:hAnsi="Aptos"/>
                <w:b w:val="0"/>
                <w:sz w:val="17"/>
              </w:rPr>
              <w:t>Synthesised olokizumab rheumatoid arthritis evidence and safety profile.</w:t>
            </w:r>
          </w:p>
        </w:tc>
        <w:tc>
          <w:tcPr>
            <w:tcW w:type="dxa" w:w="2376"/>
            <w:vAlign w:val="center"/>
            <w:shd w:fill="F2F4F6"/>
          </w:tcPr>
          <w:p>
            <w:r/>
            <w:r>
              <w:rPr>
                <w:rFonts w:ascii="Aptos" w:hAnsi="Aptos"/>
                <w:b w:val="0"/>
                <w:sz w:val="17"/>
              </w:rPr>
              <w:t>Secondary literature</w:t>
            </w:r>
          </w:p>
        </w:tc>
        <w:tc>
          <w:tcPr>
            <w:tcW w:type="dxa" w:w="1224"/>
            <w:vAlign w:val="center"/>
            <w:shd w:fill="F2F4F6"/>
          </w:tcPr>
          <w:p>
            <w:r/>
            <w:r>
              <w:rPr>
                <w:rFonts w:ascii="Aptos" w:hAnsi="Aptos"/>
                <w:b w:val="0"/>
                <w:sz w:val="17"/>
              </w:rPr>
              <w:t>Moderate</w:t>
            </w:r>
          </w:p>
        </w:tc>
      </w:tr>
      <w:tr>
        <w:tc>
          <w:tcPr>
            <w:tcW w:type="dxa" w:w="2016"/>
            <w:vAlign w:val="center"/>
            <w:shd w:fill="FFFFFF"/>
          </w:tcPr>
          <w:p>
            <w:r/>
            <w:r>
              <w:rPr>
                <w:rFonts w:ascii="Aptos" w:hAnsi="Aptos"/>
                <w:b w:val="0"/>
                <w:sz w:val="17"/>
              </w:rPr>
              <w:t>Long-term safety studies</w:t>
            </w:r>
          </w:p>
        </w:tc>
        <w:tc>
          <w:tcPr>
            <w:tcW w:type="dxa" w:w="4608"/>
            <w:vAlign w:val="center"/>
            <w:shd w:fill="FFFFFF"/>
          </w:tcPr>
          <w:p>
            <w:r/>
            <w:r>
              <w:rPr>
                <w:rFonts w:ascii="Aptos" w:hAnsi="Aptos"/>
                <w:b w:val="0"/>
                <w:sz w:val="17"/>
              </w:rPr>
              <w:t>Open-label extension data support longer exposure characterisation but not approval status.</w:t>
            </w:r>
          </w:p>
        </w:tc>
        <w:tc>
          <w:tcPr>
            <w:tcW w:type="dxa" w:w="2376"/>
            <w:vAlign w:val="center"/>
            <w:shd w:fill="FFFFFF"/>
          </w:tcPr>
          <w:p>
            <w:r/>
            <w:r>
              <w:rPr>
                <w:rFonts w:ascii="Aptos" w:hAnsi="Aptos"/>
                <w:b w:val="0"/>
                <w:sz w:val="17"/>
              </w:rPr>
              <w:t>Extension evidence</w:t>
            </w:r>
          </w:p>
        </w:tc>
        <w:tc>
          <w:tcPr>
            <w:tcW w:type="dxa" w:w="1224"/>
            <w:vAlign w:val="center"/>
            <w:shd w:fill="FFFFFF"/>
          </w:tcPr>
          <w:p>
            <w:r/>
            <w:r>
              <w:rPr>
                <w:rFonts w:ascii="Aptos" w:hAnsi="Aptos"/>
                <w:b w:val="0"/>
                <w:sz w:val="17"/>
              </w:rPr>
              <w:t>Moderate</w:t>
            </w:r>
          </w:p>
        </w:tc>
      </w:tr>
    </w:tbl>
    <w:p>
      <w:pPr>
        <w:spacing w:after="40"/>
      </w:pPr>
    </w:p>
    <w:p>
      <w:pPr>
        <w:pStyle w:val="Heading1"/>
        <w:keepNext/>
      </w:pPr>
      <w:r>
        <w:t>6. Weighted Appraisal Scorecard</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880"/>
            <w:vAlign w:val="center"/>
            <w:shd w:fill="18324A"/>
          </w:tcPr>
          <w:p>
            <w:r/>
            <w:r>
              <w:rPr>
                <w:rFonts w:ascii="Aptos" w:hAnsi="Aptos"/>
                <w:b/>
                <w:color w:val="FFFFFF"/>
                <w:sz w:val="17"/>
              </w:rPr>
              <w:t>Category</w:t>
            </w:r>
          </w:p>
        </w:tc>
        <w:tc>
          <w:tcPr>
            <w:tcW w:type="dxa" w:w="792"/>
            <w:vAlign w:val="center"/>
            <w:shd w:fill="18324A"/>
          </w:tcPr>
          <w:p>
            <w:r/>
            <w:r>
              <w:rPr>
                <w:rFonts w:ascii="Aptos" w:hAnsi="Aptos"/>
                <w:b/>
                <w:color w:val="FFFFFF"/>
                <w:sz w:val="17"/>
              </w:rPr>
              <w:t>Weight</w:t>
            </w:r>
          </w:p>
        </w:tc>
        <w:tc>
          <w:tcPr>
            <w:tcW w:type="dxa" w:w="936"/>
            <w:vAlign w:val="center"/>
            <w:shd w:fill="18324A"/>
          </w:tcPr>
          <w:p>
            <w:r/>
            <w:r>
              <w:rPr>
                <w:rFonts w:ascii="Aptos" w:hAnsi="Aptos"/>
                <w:b/>
                <w:color w:val="FFFFFF"/>
                <w:sz w:val="17"/>
              </w:rPr>
              <w:t>Score 0-5</w:t>
            </w:r>
          </w:p>
        </w:tc>
        <w:tc>
          <w:tcPr>
            <w:tcW w:type="dxa" w:w="936"/>
            <w:vAlign w:val="center"/>
            <w:shd w:fill="18324A"/>
          </w:tcPr>
          <w:p>
            <w:r/>
            <w:r>
              <w:rPr>
                <w:rFonts w:ascii="Aptos" w:hAnsi="Aptos"/>
                <w:b/>
                <w:color w:val="FFFFFF"/>
                <w:sz w:val="17"/>
              </w:rPr>
              <w:t>Weighted</w:t>
            </w:r>
          </w:p>
        </w:tc>
        <w:tc>
          <w:tcPr>
            <w:tcW w:type="dxa" w:w="4680"/>
            <w:vAlign w:val="center"/>
            <w:shd w:fill="18324A"/>
          </w:tcPr>
          <w:p>
            <w:r/>
            <w:r>
              <w:rPr>
                <w:rFonts w:ascii="Aptos" w:hAnsi="Aptos"/>
                <w:b/>
                <w:color w:val="FFFFFF"/>
                <w:sz w:val="17"/>
              </w:rPr>
              <w:t>Rationale</w:t>
            </w:r>
          </w:p>
        </w:tc>
      </w:tr>
      <w:tr>
        <w:tc>
          <w:tcPr>
            <w:tcW w:type="dxa" w:w="2880"/>
            <w:vAlign w:val="center"/>
            <w:shd w:fill="FFFFFF"/>
          </w:tcPr>
          <w:p>
            <w:r/>
            <w:r>
              <w:rPr>
                <w:rFonts w:ascii="Aptos" w:hAnsi="Aptos"/>
                <w:b w:val="0"/>
                <w:sz w:val="17"/>
              </w:rPr>
              <w:t>Therapeutic gap and medical need</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1.6</w:t>
            </w:r>
          </w:p>
        </w:tc>
        <w:tc>
          <w:tcPr>
            <w:tcW w:type="dxa" w:w="4680"/>
            <w:vAlign w:val="center"/>
            <w:shd w:fill="FFFFFF"/>
          </w:tcPr>
          <w:p>
            <w:r/>
            <w:r>
              <w:rPr>
                <w:rFonts w:ascii="Aptos" w:hAnsi="Aptos"/>
                <w:b w:val="0"/>
                <w:sz w:val="17"/>
              </w:rPr>
              <w:t>Rheumatoid arthritis remains important, but this specific candidate does not yet have a clean identity or launch path.</w:t>
            </w:r>
          </w:p>
        </w:tc>
      </w:tr>
      <w:tr>
        <w:tc>
          <w:tcPr>
            <w:tcW w:type="dxa" w:w="2880"/>
            <w:vAlign w:val="center"/>
            <w:shd w:fill="F2F4F6"/>
          </w:tcPr>
          <w:p>
            <w:r/>
            <w:r>
              <w:rPr>
                <w:rFonts w:ascii="Aptos" w:hAnsi="Aptos"/>
                <w:b w:val="0"/>
                <w:sz w:val="17"/>
              </w:rPr>
              <w:t>Molecule and target profile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2</w:t>
            </w:r>
          </w:p>
        </w:tc>
        <w:tc>
          <w:tcPr>
            <w:tcW w:type="dxa" w:w="936"/>
            <w:vAlign w:val="center"/>
            <w:shd w:fill="F2F4F6"/>
          </w:tcPr>
          <w:p>
            <w:r/>
            <w:r>
              <w:rPr>
                <w:rFonts w:ascii="Aptos" w:hAnsi="Aptos"/>
                <w:b w:val="0"/>
                <w:sz w:val="17"/>
              </w:rPr>
              <w:t>3.2</w:t>
            </w:r>
          </w:p>
        </w:tc>
        <w:tc>
          <w:tcPr>
            <w:tcW w:type="dxa" w:w="4680"/>
            <w:vAlign w:val="center"/>
            <w:shd w:fill="F2F4F6"/>
          </w:tcPr>
          <w:p>
            <w:r/>
            <w:r>
              <w:rPr>
                <w:rFonts w:ascii="Aptos" w:hAnsi="Aptos"/>
                <w:b w:val="0"/>
                <w:sz w:val="17"/>
              </w:rPr>
              <w:t>IL-6 targeting is credible, but the requested name is not verified and the asset must be identity-locked first.</w:t>
            </w:r>
          </w:p>
        </w:tc>
      </w:tr>
      <w:tr>
        <w:tc>
          <w:tcPr>
            <w:tcW w:type="dxa" w:w="2880"/>
            <w:vAlign w:val="center"/>
            <w:shd w:fill="FFFFFF"/>
          </w:tcPr>
          <w:p>
            <w:r/>
            <w:r>
              <w:rPr>
                <w:rFonts w:ascii="Aptos" w:hAnsi="Aptos"/>
                <w:b w:val="0"/>
                <w:sz w:val="17"/>
              </w:rPr>
              <w:t>Preclinical evidence</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2</w:t>
            </w:r>
          </w:p>
        </w:tc>
        <w:tc>
          <w:tcPr>
            <w:tcW w:type="dxa" w:w="936"/>
            <w:vAlign w:val="center"/>
            <w:shd w:fill="FFFFFF"/>
          </w:tcPr>
          <w:p>
            <w:r/>
            <w:r>
              <w:rPr>
                <w:rFonts w:ascii="Aptos" w:hAnsi="Aptos"/>
                <w:b w:val="0"/>
                <w:sz w:val="17"/>
              </w:rPr>
              <w:t>2.4</w:t>
            </w:r>
          </w:p>
        </w:tc>
        <w:tc>
          <w:tcPr>
            <w:tcW w:type="dxa" w:w="4680"/>
            <w:vAlign w:val="center"/>
            <w:shd w:fill="FFFFFF"/>
          </w:tcPr>
          <w:p>
            <w:r/>
            <w:r>
              <w:rPr>
                <w:rFonts w:ascii="Aptos" w:hAnsi="Aptos"/>
                <w:b w:val="0"/>
                <w:sz w:val="17"/>
              </w:rPr>
              <w:t>Not assessed in depth here; the main issue is the unresolved candidate identity and development readiness.</w:t>
            </w:r>
          </w:p>
        </w:tc>
      </w:tr>
      <w:tr>
        <w:tc>
          <w:tcPr>
            <w:tcW w:type="dxa" w:w="2880"/>
            <w:vAlign w:val="center"/>
            <w:shd w:fill="F2F4F6"/>
          </w:tcPr>
          <w:p>
            <w:r/>
            <w:r>
              <w:rPr>
                <w:rFonts w:ascii="Aptos" w:hAnsi="Aptos"/>
                <w:b w:val="0"/>
                <w:sz w:val="17"/>
              </w:rPr>
              <w:t>Clinical evidence</w:t>
            </w:r>
          </w:p>
        </w:tc>
        <w:tc>
          <w:tcPr>
            <w:tcW w:type="dxa" w:w="792"/>
            <w:vAlign w:val="center"/>
            <w:shd w:fill="F2F4F6"/>
          </w:tcPr>
          <w:p>
            <w:r/>
            <w:r>
              <w:rPr>
                <w:rFonts w:ascii="Aptos" w:hAnsi="Aptos"/>
                <w:b w:val="0"/>
                <w:sz w:val="17"/>
              </w:rPr>
              <w:t>16</w:t>
            </w:r>
          </w:p>
        </w:tc>
        <w:tc>
          <w:tcPr>
            <w:tcW w:type="dxa" w:w="936"/>
            <w:vAlign w:val="center"/>
            <w:shd w:fill="F2F4F6"/>
          </w:tcPr>
          <w:p>
            <w:r/>
            <w:r>
              <w:rPr>
                <w:rFonts w:ascii="Aptos" w:hAnsi="Aptos"/>
                <w:b w:val="0"/>
                <w:sz w:val="17"/>
              </w:rPr>
              <w:t>3</w:t>
            </w:r>
          </w:p>
        </w:tc>
        <w:tc>
          <w:tcPr>
            <w:tcW w:type="dxa" w:w="936"/>
            <w:vAlign w:val="center"/>
            <w:shd w:fill="F2F4F6"/>
          </w:tcPr>
          <w:p>
            <w:r/>
            <w:r>
              <w:rPr>
                <w:rFonts w:ascii="Aptos" w:hAnsi="Aptos"/>
                <w:b w:val="0"/>
                <w:sz w:val="17"/>
              </w:rPr>
              <w:t>9.6</w:t>
            </w:r>
          </w:p>
        </w:tc>
        <w:tc>
          <w:tcPr>
            <w:tcW w:type="dxa" w:w="4680"/>
            <w:vAlign w:val="center"/>
            <w:shd w:fill="F2F4F6"/>
          </w:tcPr>
          <w:p>
            <w:r/>
            <w:r>
              <w:rPr>
                <w:rFonts w:ascii="Aptos" w:hAnsi="Aptos"/>
                <w:b w:val="0"/>
                <w:sz w:val="17"/>
              </w:rPr>
              <w:t>Phase II and III olokizumab studies exist, but they do not rescue the identity problem for 'Olonacimab'.</w:t>
            </w:r>
          </w:p>
        </w:tc>
      </w:tr>
      <w:tr>
        <w:tc>
          <w:tcPr>
            <w:tcW w:type="dxa" w:w="2880"/>
            <w:vAlign w:val="center"/>
            <w:shd w:fill="FFFFFF"/>
          </w:tcPr>
          <w:p>
            <w:r/>
            <w:r>
              <w:rPr>
                <w:rFonts w:ascii="Aptos" w:hAnsi="Aptos"/>
                <w:b w:val="0"/>
                <w:sz w:val="17"/>
              </w:rPr>
              <w:t>Safety and tolerability</w:t>
            </w:r>
          </w:p>
        </w:tc>
        <w:tc>
          <w:tcPr>
            <w:tcW w:type="dxa" w:w="792"/>
            <w:vAlign w:val="center"/>
            <w:shd w:fill="FFFFFF"/>
          </w:tcPr>
          <w:p>
            <w:r/>
            <w:r>
              <w:rPr>
                <w:rFonts w:ascii="Aptos" w:hAnsi="Aptos"/>
                <w:b w:val="0"/>
                <w:sz w:val="17"/>
              </w:rPr>
              <w:t>10</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2.0</w:t>
            </w:r>
          </w:p>
        </w:tc>
        <w:tc>
          <w:tcPr>
            <w:tcW w:type="dxa" w:w="4680"/>
            <w:vAlign w:val="center"/>
            <w:shd w:fill="FFFFFF"/>
          </w:tcPr>
          <w:p>
            <w:r/>
            <w:r>
              <w:rPr>
                <w:rFonts w:ascii="Aptos" w:hAnsi="Aptos"/>
                <w:b w:val="0"/>
                <w:sz w:val="17"/>
              </w:rPr>
              <w:t>The molecule class requires careful infection and laboratory monitoring; the current run does not support a launch-ready safety package.</w:t>
            </w:r>
          </w:p>
        </w:tc>
      </w:tr>
      <w:tr>
        <w:tc>
          <w:tcPr>
            <w:tcW w:type="dxa" w:w="2880"/>
            <w:vAlign w:val="center"/>
            <w:shd w:fill="F2F4F6"/>
          </w:tcPr>
          <w:p>
            <w:r/>
            <w:r>
              <w:rPr>
                <w:rFonts w:ascii="Aptos" w:hAnsi="Aptos"/>
                <w:b w:val="0"/>
                <w:sz w:val="17"/>
              </w:rPr>
              <w:t>Regulatory status and pathway</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1.6</w:t>
            </w:r>
          </w:p>
        </w:tc>
        <w:tc>
          <w:tcPr>
            <w:tcW w:type="dxa" w:w="4680"/>
            <w:vAlign w:val="center"/>
            <w:shd w:fill="F2F4F6"/>
          </w:tcPr>
          <w:p>
            <w:r/>
            <w:r>
              <w:rPr>
                <w:rFonts w:ascii="Aptos" w:hAnsi="Aptos"/>
                <w:b w:val="0"/>
                <w:sz w:val="17"/>
              </w:rPr>
              <w:t>CDSCO permitted a phase III trial, but no approved India label was verified.</w:t>
            </w:r>
          </w:p>
        </w:tc>
      </w:tr>
      <w:tr>
        <w:tc>
          <w:tcPr>
            <w:tcW w:type="dxa" w:w="2880"/>
            <w:vAlign w:val="center"/>
            <w:shd w:fill="FFFFFF"/>
          </w:tcPr>
          <w:p>
            <w:r/>
            <w:r>
              <w:rPr>
                <w:rFonts w:ascii="Aptos" w:hAnsi="Aptos"/>
                <w:b w:val="0"/>
                <w:sz w:val="17"/>
              </w:rPr>
              <w:t>Patent and exclusivity</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1.6</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Competitor landscape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2</w:t>
            </w:r>
          </w:p>
        </w:tc>
        <w:tc>
          <w:tcPr>
            <w:tcW w:type="dxa" w:w="936"/>
            <w:vAlign w:val="center"/>
            <w:shd w:fill="F2F4F6"/>
          </w:tcPr>
          <w:p>
            <w:r/>
            <w:r>
              <w:rPr>
                <w:rFonts w:ascii="Aptos" w:hAnsi="Aptos"/>
                <w:b w:val="0"/>
                <w:sz w:val="17"/>
              </w:rPr>
              <w:t>3.2</w:t>
            </w:r>
          </w:p>
        </w:tc>
        <w:tc>
          <w:tcPr>
            <w:tcW w:type="dxa" w:w="4680"/>
            <w:vAlign w:val="center"/>
            <w:shd w:fill="F2F4F6"/>
          </w:tcPr>
          <w:p>
            <w:r/>
            <w:r>
              <w:rPr>
                <w:rFonts w:ascii="Aptos" w:hAnsi="Aptos"/>
                <w:b w:val="0"/>
                <w:sz w:val="17"/>
              </w:rPr>
              <w:t>RA is heavily contested by established biologics and targeted agents.</w:t>
            </w:r>
          </w:p>
        </w:tc>
      </w:tr>
      <w:tr>
        <w:tc>
          <w:tcPr>
            <w:tcW w:type="dxa" w:w="2880"/>
            <w:vAlign w:val="center"/>
            <w:shd w:fill="FFFFFF"/>
          </w:tcPr>
          <w:p>
            <w:r/>
            <w:r>
              <w:rPr>
                <w:rFonts w:ascii="Aptos" w:hAnsi="Aptos"/>
                <w:b w:val="0"/>
                <w:sz w:val="17"/>
              </w:rPr>
              <w:t>Pricing and market access</w:t>
            </w:r>
          </w:p>
        </w:tc>
        <w:tc>
          <w:tcPr>
            <w:tcW w:type="dxa" w:w="792"/>
            <w:vAlign w:val="center"/>
            <w:shd w:fill="FFFFFF"/>
          </w:tcPr>
          <w:p>
            <w:r/>
            <w:r>
              <w:rPr>
                <w:rFonts w:ascii="Aptos" w:hAnsi="Aptos"/>
                <w:b w:val="0"/>
                <w:sz w:val="17"/>
              </w:rPr>
              <w:t>7</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1.4</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API economics and supply</w:t>
            </w:r>
          </w:p>
        </w:tc>
        <w:tc>
          <w:tcPr>
            <w:tcW w:type="dxa" w:w="792"/>
            <w:vAlign w:val="center"/>
            <w:shd w:fill="F2F4F6"/>
          </w:tcPr>
          <w:p>
            <w:r/>
            <w:r>
              <w:rPr>
                <w:rFonts w:ascii="Aptos" w:hAnsi="Aptos"/>
                <w:b w:val="0"/>
                <w:sz w:val="17"/>
              </w:rPr>
              <w:t>5</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1.0</w:t>
            </w:r>
          </w:p>
        </w:tc>
        <w:tc>
          <w:tcPr>
            <w:tcW w:type="dxa" w:w="4680"/>
            <w:vAlign w:val="center"/>
            <w:shd w:fill="F2F4F6"/>
          </w:tcPr>
          <w:p>
            <w:r/>
            <w:r>
              <w:rPr>
                <w:rFonts w:ascii="Aptos" w:hAnsi="Aptos"/>
                <w:b w:val="0"/>
                <w:sz w:val="17"/>
              </w:rPr>
              <w:t>Conservative score because authoritative India-specific diligence data were not supplied.</w:t>
            </w:r>
          </w:p>
        </w:tc>
      </w:tr>
      <w:tr>
        <w:tc>
          <w:tcPr>
            <w:tcW w:type="dxa" w:w="2880"/>
            <w:vAlign w:val="center"/>
            <w:shd w:fill="FFFFFF"/>
          </w:tcPr>
          <w:p>
            <w:r/>
            <w:r>
              <w:rPr>
                <w:rFonts w:ascii="Aptos" w:hAnsi="Aptos"/>
                <w:b w:val="0"/>
                <w:sz w:val="17"/>
              </w:rPr>
              <w:t>Commercial attractiveness</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1.2</w:t>
            </w:r>
          </w:p>
        </w:tc>
        <w:tc>
          <w:tcPr>
            <w:tcW w:type="dxa" w:w="4680"/>
            <w:vAlign w:val="center"/>
            <w:shd w:fill="FFFFFF"/>
          </w:tcPr>
          <w:p>
            <w:r/>
            <w:r>
              <w:rPr>
                <w:rFonts w:ascii="Aptos" w:hAnsi="Aptos"/>
                <w:b w:val="0"/>
                <w:sz w:val="17"/>
              </w:rPr>
              <w:t>The asset is not launch-ready and the investment case remains speculative.</w:t>
            </w:r>
          </w:p>
        </w:tc>
      </w:tr>
      <w:tr>
        <w:tc>
          <w:tcPr>
            <w:tcW w:type="dxa" w:w="2880"/>
            <w:vAlign w:val="center"/>
            <w:shd w:fill="F2F4F6"/>
          </w:tcPr>
          <w:p>
            <w:r/>
            <w:r>
              <w:rPr>
                <w:rFonts w:ascii="Aptos" w:hAnsi="Aptos"/>
                <w:b w:val="0"/>
                <w:sz w:val="17"/>
              </w:rPr>
              <w:t>Strategic fit with company product mix</w:t>
            </w:r>
          </w:p>
        </w:tc>
        <w:tc>
          <w:tcPr>
            <w:tcW w:type="dxa" w:w="792"/>
            <w:vAlign w:val="center"/>
            <w:shd w:fill="F2F4F6"/>
          </w:tcPr>
          <w:p>
            <w:r/>
            <w:r>
              <w:rPr>
                <w:rFonts w:ascii="Aptos" w:hAnsi="Aptos"/>
                <w:b w:val="0"/>
                <w:sz w:val="17"/>
              </w:rPr>
              <w:t>6</w:t>
            </w:r>
          </w:p>
        </w:tc>
        <w:tc>
          <w:tcPr>
            <w:tcW w:type="dxa" w:w="936"/>
            <w:vAlign w:val="center"/>
            <w:shd w:fill="F2F4F6"/>
          </w:tcPr>
          <w:p>
            <w:r/>
            <w:r>
              <w:rPr>
                <w:rFonts w:ascii="Aptos" w:hAnsi="Aptos"/>
                <w:b w:val="0"/>
                <w:sz w:val="17"/>
              </w:rPr>
              <w:t>2</w:t>
            </w:r>
          </w:p>
        </w:tc>
        <w:tc>
          <w:tcPr>
            <w:tcW w:type="dxa" w:w="936"/>
            <w:vAlign w:val="center"/>
            <w:shd w:fill="F2F4F6"/>
          </w:tcPr>
          <w:p>
            <w:r/>
            <w:r>
              <w:rPr>
                <w:rFonts w:ascii="Aptos" w:hAnsi="Aptos"/>
                <w:b w:val="0"/>
                <w:sz w:val="17"/>
              </w:rPr>
              <w:t>2.4</w:t>
            </w:r>
          </w:p>
        </w:tc>
        <w:tc>
          <w:tcPr>
            <w:tcW w:type="dxa" w:w="4680"/>
            <w:vAlign w:val="center"/>
            <w:shd w:fill="F2F4F6"/>
          </w:tcPr>
          <w:p>
            <w:r/>
            <w:r>
              <w:rPr>
                <w:rFonts w:ascii="Aptos" w:hAnsi="Aptos"/>
                <w:b w:val="0"/>
                <w:sz w:val="17"/>
              </w:rPr>
              <w:t>Potential fit exists only if the company wants a biologics capability and the rights package is compelling.</w:t>
            </w:r>
          </w:p>
        </w:tc>
      </w:tr>
      <w:tr>
        <w:tc>
          <w:tcPr>
            <w:tcW w:type="dxa" w:w="2880"/>
            <w:vAlign w:val="center"/>
            <w:shd w:fill="FFFFFF"/>
          </w:tcPr>
          <w:p>
            <w:r/>
            <w:r>
              <w:rPr>
                <w:rFonts w:ascii="Aptos" w:hAnsi="Aptos"/>
                <w:b w:val="0"/>
                <w:sz w:val="17"/>
              </w:rPr>
              <w:t>Operational and CMC feasibility</w:t>
            </w:r>
          </w:p>
        </w:tc>
        <w:tc>
          <w:tcPr>
            <w:tcW w:type="dxa" w:w="792"/>
            <w:vAlign w:val="center"/>
            <w:shd w:fill="FFFFFF"/>
          </w:tcPr>
          <w:p>
            <w:r/>
            <w:r>
              <w:rPr>
                <w:rFonts w:ascii="Aptos" w:hAnsi="Aptos"/>
                <w:b w:val="0"/>
                <w:sz w:val="17"/>
              </w:rPr>
              <w:t>4</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0.8</w:t>
            </w:r>
          </w:p>
        </w:tc>
        <w:tc>
          <w:tcPr>
            <w:tcW w:type="dxa" w:w="4680"/>
            <w:vAlign w:val="center"/>
            <w:shd w:fill="FFFFFF"/>
          </w:tcPr>
          <w:p>
            <w:r/>
            <w:r>
              <w:rPr>
                <w:rFonts w:ascii="Aptos" w:hAnsi="Aptos"/>
                <w:b w:val="0"/>
                <w:sz w:val="17"/>
              </w:rPr>
              <w:t>High CMC complexity and comparability burden remain unresolved.</w:t>
            </w:r>
          </w:p>
        </w:tc>
      </w:tr>
      <w:tr>
        <w:tc>
          <w:tcPr>
            <w:tcW w:type="dxa" w:w="2880"/>
            <w:vAlign w:val="center"/>
            <w:shd w:fill="F2F4F6"/>
          </w:tcPr>
          <w:p>
            <w:r/>
            <w:r>
              <w:rPr>
                <w:rFonts w:ascii="Aptos" w:hAnsi="Aptos"/>
                <w:b w:val="0"/>
                <w:sz w:val="17"/>
              </w:rPr>
              <w:t>HCP value proposition</w:t>
            </w:r>
          </w:p>
        </w:tc>
        <w:tc>
          <w:tcPr>
            <w:tcW w:type="dxa" w:w="792"/>
            <w:vAlign w:val="center"/>
            <w:shd w:fill="F2F4F6"/>
          </w:tcPr>
          <w:p>
            <w:r/>
            <w:r>
              <w:rPr>
                <w:rFonts w:ascii="Aptos" w:hAnsi="Aptos"/>
                <w:b w:val="0"/>
                <w:sz w:val="17"/>
              </w:rPr>
              <w:t>4</w:t>
            </w:r>
          </w:p>
        </w:tc>
        <w:tc>
          <w:tcPr>
            <w:tcW w:type="dxa" w:w="936"/>
            <w:vAlign w:val="center"/>
            <w:shd w:fill="F2F4F6"/>
          </w:tcPr>
          <w:p>
            <w:r/>
            <w:r>
              <w:rPr>
                <w:rFonts w:ascii="Aptos" w:hAnsi="Aptos"/>
                <w:b w:val="0"/>
                <w:sz w:val="17"/>
              </w:rPr>
              <w:t>2</w:t>
            </w:r>
          </w:p>
        </w:tc>
        <w:tc>
          <w:tcPr>
            <w:tcW w:type="dxa" w:w="936"/>
            <w:vAlign w:val="center"/>
            <w:shd w:fill="F2F4F6"/>
          </w:tcPr>
          <w:p>
            <w:r/>
            <w:r>
              <w:rPr>
                <w:rFonts w:ascii="Aptos" w:hAnsi="Aptos"/>
                <w:b w:val="0"/>
                <w:sz w:val="17"/>
              </w:rPr>
              <w:t>1.6</w:t>
            </w:r>
          </w:p>
        </w:tc>
        <w:tc>
          <w:tcPr>
            <w:tcW w:type="dxa" w:w="4680"/>
            <w:vAlign w:val="center"/>
            <w:shd w:fill="F2F4F6"/>
          </w:tcPr>
          <w:p>
            <w:r/>
            <w:r>
              <w:rPr>
                <w:rFonts w:ascii="Aptos" w:hAnsi="Aptos"/>
                <w:b w:val="0"/>
                <w:sz w:val="17"/>
              </w:rPr>
              <w:t>No authoritative India-facing value proposition can be finalised while the molecule identity remains uncertain.</w:t>
            </w:r>
          </w:p>
        </w:tc>
      </w:tr>
      <w:tr>
        <w:tc>
          <w:tcPr>
            <w:tcW w:type="dxa" w:w="2880"/>
            <w:vAlign w:val="center"/>
            <w:shd w:fill="FFFFFF"/>
          </w:tcPr>
          <w:p>
            <w:r/>
            <w:r>
              <w:rPr>
                <w:rFonts w:ascii="Aptos" w:hAnsi="Aptos"/>
                <w:b w:val="0"/>
                <w:sz w:val="17"/>
              </w:rPr>
              <w:t>Evidence quality and digital intelligence</w:t>
            </w:r>
          </w:p>
        </w:tc>
        <w:tc>
          <w:tcPr>
            <w:tcW w:type="dxa" w:w="792"/>
            <w:vAlign w:val="center"/>
            <w:shd w:fill="FFFFFF"/>
          </w:tcPr>
          <w:p>
            <w:r/>
            <w:r>
              <w:rPr>
                <w:rFonts w:ascii="Aptos" w:hAnsi="Aptos"/>
                <w:b w:val="0"/>
                <w:sz w:val="17"/>
              </w:rPr>
              <w:t>3</w:t>
            </w:r>
          </w:p>
        </w:tc>
        <w:tc>
          <w:tcPr>
            <w:tcW w:type="dxa" w:w="936"/>
            <w:vAlign w:val="center"/>
            <w:shd w:fill="FFFFFF"/>
          </w:tcPr>
          <w:p>
            <w:r/>
            <w:r>
              <w:rPr>
                <w:rFonts w:ascii="Aptos" w:hAnsi="Aptos"/>
                <w:b w:val="0"/>
                <w:sz w:val="17"/>
              </w:rPr>
              <w:t>2</w:t>
            </w:r>
          </w:p>
        </w:tc>
        <w:tc>
          <w:tcPr>
            <w:tcW w:type="dxa" w:w="936"/>
            <w:vAlign w:val="center"/>
            <w:shd w:fill="FFFFFF"/>
          </w:tcPr>
          <w:p>
            <w:r/>
            <w:r>
              <w:rPr>
                <w:rFonts w:ascii="Aptos" w:hAnsi="Aptos"/>
                <w:b w:val="0"/>
                <w:sz w:val="17"/>
              </w:rPr>
              <w:t>1.2</w:t>
            </w:r>
          </w:p>
        </w:tc>
        <w:tc>
          <w:tcPr>
            <w:tcW w:type="dxa" w:w="4680"/>
            <w:vAlign w:val="center"/>
            <w:shd w:fill="FFFFFF"/>
          </w:tcPr>
          <w:p>
            <w:r/>
            <w:r>
              <w:rPr>
                <w:rFonts w:ascii="Aptos" w:hAnsi="Aptos"/>
                <w:b w:val="0"/>
                <w:sz w:val="17"/>
              </w:rPr>
              <w:t>The strongest signal is the CDSCO trial permit plus peer-reviewed phase III literature for olokizumab.</w:t>
            </w:r>
          </w:p>
        </w:tc>
      </w:tr>
      <w:tr>
        <w:tc>
          <w:tcPr>
            <w:tcW w:type="dxa" w:w="2880"/>
            <w:vAlign w:val="center"/>
            <w:shd w:fill="F2F4F6"/>
          </w:tcPr>
          <w:p>
            <w:r/>
            <w:r>
              <w:rPr>
                <w:rFonts w:ascii="Aptos" w:hAnsi="Aptos"/>
                <w:b w:val="0"/>
                <w:sz w:val="17"/>
              </w:rPr>
              <w:t>Reputation, ethics, and access</w:t>
            </w:r>
          </w:p>
        </w:tc>
        <w:tc>
          <w:tcPr>
            <w:tcW w:type="dxa" w:w="792"/>
            <w:vAlign w:val="center"/>
            <w:shd w:fill="F2F4F6"/>
          </w:tcPr>
          <w:p>
            <w:r/>
            <w:r>
              <w:rPr>
                <w:rFonts w:ascii="Aptos" w:hAnsi="Aptos"/>
                <w:b w:val="0"/>
                <w:sz w:val="17"/>
              </w:rPr>
              <w:t>1</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0.2</w:t>
            </w:r>
          </w:p>
        </w:tc>
        <w:tc>
          <w:tcPr>
            <w:tcW w:type="dxa" w:w="4680"/>
            <w:vAlign w:val="center"/>
            <w:shd w:fill="F2F4F6"/>
          </w:tcPr>
          <w:p>
            <w:r/>
            <w:r>
              <w:rPr>
                <w:rFonts w:ascii="Aptos" w:hAnsi="Aptos"/>
                <w:b w:val="0"/>
                <w:sz w:val="17"/>
              </w:rPr>
              <w:t>Proceeding on a misnamed molecule would be an avoidable governance risk.</w:t>
            </w:r>
          </w:p>
        </w:tc>
      </w:tr>
    </w:tbl>
    <w:p>
      <w:pPr>
        <w:spacing w:after="40"/>
      </w:pPr>
    </w:p>
    <w:p>
      <w:pPr>
        <w:jc w:val="right"/>
      </w:pPr>
      <w:r>
        <w:rPr>
          <w:b/>
          <w:color w:val="137C7B"/>
          <w:sz w:val="24"/>
        </w:rPr>
        <w:t>Total preliminary weighted score: 35.0 / 100</w:t>
      </w:r>
    </w:p>
    <w:p>
      <w:pPr>
        <w:pStyle w:val="Heading1"/>
        <w:keepNext/>
      </w:pPr>
      <w:r>
        <w:t>7. Mandatory Red-Flag Review</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F5E6B7"/>
          </w:tcPr>
          <w:p>
            <w:r/>
            <w:r>
              <w:rPr>
                <w:rFonts w:ascii="Aptos" w:hAnsi="Aptos"/>
                <w:b/>
                <w:color w:val="FFFFFF"/>
                <w:sz w:val="17"/>
              </w:rPr>
              <w:t>Area</w:t>
            </w:r>
          </w:p>
        </w:tc>
        <w:tc>
          <w:tcPr>
            <w:tcW w:type="dxa" w:w="4896"/>
            <w:vAlign w:val="center"/>
            <w:shd w:fill="F5E6B7"/>
          </w:tcPr>
          <w:p>
            <w:r/>
            <w:r>
              <w:rPr>
                <w:rFonts w:ascii="Aptos" w:hAnsi="Aptos"/>
                <w:b/>
                <w:color w:val="FFFFFF"/>
                <w:sz w:val="17"/>
              </w:rPr>
              <w:t>Finding</w:t>
            </w:r>
          </w:p>
        </w:tc>
        <w:tc>
          <w:tcPr>
            <w:tcW w:type="dxa" w:w="3384"/>
            <w:vAlign w:val="center"/>
            <w:shd w:fill="F5E6B7"/>
          </w:tcPr>
          <w:p>
            <w:r/>
            <w:r>
              <w:rPr>
                <w:rFonts w:ascii="Aptos" w:hAnsi="Aptos"/>
                <w:b/>
                <w:color w:val="FFFFFF"/>
                <w:sz w:val="17"/>
              </w:rPr>
              <w:t>Required disposition</w:t>
            </w:r>
          </w:p>
        </w:tc>
      </w:tr>
      <w:tr>
        <w:tc>
          <w:tcPr>
            <w:tcW w:type="dxa" w:w="1944"/>
            <w:vAlign w:val="center"/>
            <w:shd w:fill="FFFFFF"/>
          </w:tcPr>
          <w:p>
            <w:r/>
            <w:r>
              <w:rPr>
                <w:rFonts w:ascii="Aptos" w:hAnsi="Aptos"/>
                <w:b w:val="0"/>
                <w:sz w:val="17"/>
              </w:rPr>
              <w:t>Identity verification</w:t>
            </w:r>
          </w:p>
        </w:tc>
        <w:tc>
          <w:tcPr>
            <w:tcW w:type="dxa" w:w="4896"/>
            <w:vAlign w:val="center"/>
            <w:shd w:fill="FFFFFF"/>
          </w:tcPr>
          <w:p>
            <w:r/>
            <w:r>
              <w:rPr>
                <w:rFonts w:ascii="Aptos" w:hAnsi="Aptos"/>
                <w:b w:val="0"/>
                <w:sz w:val="17"/>
              </w:rPr>
              <w:t>The requested molecule name could not be confirmed.</w:t>
            </w:r>
          </w:p>
        </w:tc>
        <w:tc>
          <w:tcPr>
            <w:tcW w:type="dxa" w:w="3384"/>
            <w:vAlign w:val="center"/>
            <w:shd w:fill="FFFFFF"/>
          </w:tcPr>
          <w:p>
            <w:r/>
            <w:r>
              <w:rPr>
                <w:rFonts w:ascii="Aptos" w:hAnsi="Aptos"/>
                <w:b w:val="0"/>
                <w:sz w:val="17"/>
              </w:rPr>
              <w:t>Treat as a hard stop until Regulatory Affairs confirms the intended INN.</w:t>
            </w:r>
          </w:p>
        </w:tc>
      </w:tr>
      <w:tr>
        <w:tc>
          <w:tcPr>
            <w:tcW w:type="dxa" w:w="1944"/>
            <w:vAlign w:val="center"/>
            <w:shd w:fill="F2F4F6"/>
          </w:tcPr>
          <w:p>
            <w:r/>
            <w:r>
              <w:rPr>
                <w:rFonts w:ascii="Aptos" w:hAnsi="Aptos"/>
                <w:b w:val="0"/>
                <w:sz w:val="17"/>
              </w:rPr>
              <w:t>Market authorization</w:t>
            </w:r>
          </w:p>
        </w:tc>
        <w:tc>
          <w:tcPr>
            <w:tcW w:type="dxa" w:w="4896"/>
            <w:vAlign w:val="center"/>
            <w:shd w:fill="F2F4F6"/>
          </w:tcPr>
          <w:p>
            <w:r/>
            <w:r>
              <w:rPr>
                <w:rFonts w:ascii="Aptos" w:hAnsi="Aptos"/>
                <w:b w:val="0"/>
                <w:sz w:val="17"/>
              </w:rPr>
              <w:t>No verified approved India label or major-market approval was established.</w:t>
            </w:r>
          </w:p>
        </w:tc>
        <w:tc>
          <w:tcPr>
            <w:tcW w:type="dxa" w:w="3384"/>
            <w:vAlign w:val="center"/>
            <w:shd w:fill="F2F4F6"/>
          </w:tcPr>
          <w:p>
            <w:r/>
            <w:r>
              <w:rPr>
                <w:rFonts w:ascii="Aptos" w:hAnsi="Aptos"/>
                <w:b w:val="0"/>
                <w:sz w:val="17"/>
              </w:rPr>
              <w:t>No immediate launch path.</w:t>
            </w:r>
          </w:p>
        </w:tc>
      </w:tr>
      <w:tr>
        <w:tc>
          <w:tcPr>
            <w:tcW w:type="dxa" w:w="1944"/>
            <w:vAlign w:val="center"/>
            <w:shd w:fill="FFFFFF"/>
          </w:tcPr>
          <w:p>
            <w:r/>
            <w:r>
              <w:rPr>
                <w:rFonts w:ascii="Aptos" w:hAnsi="Aptos"/>
                <w:b w:val="0"/>
                <w:sz w:val="17"/>
              </w:rPr>
              <w:t>Biologic complexity</w:t>
            </w:r>
          </w:p>
        </w:tc>
        <w:tc>
          <w:tcPr>
            <w:tcW w:type="dxa" w:w="4896"/>
            <w:vAlign w:val="center"/>
            <w:shd w:fill="FFFFFF"/>
          </w:tcPr>
          <w:p>
            <w:r/>
            <w:r>
              <w:rPr>
                <w:rFonts w:ascii="Aptos" w:hAnsi="Aptos"/>
                <w:b w:val="0"/>
                <w:sz w:val="17"/>
              </w:rPr>
              <w:t>CMC, immunogenicity, comparability, and supply burdens are substantial.</w:t>
            </w:r>
          </w:p>
        </w:tc>
        <w:tc>
          <w:tcPr>
            <w:tcW w:type="dxa" w:w="3384"/>
            <w:vAlign w:val="center"/>
            <w:shd w:fill="FFFFFF"/>
          </w:tcPr>
          <w:p>
            <w:r/>
            <w:r>
              <w:rPr>
                <w:rFonts w:ascii="Aptos" w:hAnsi="Aptos"/>
                <w:b w:val="0"/>
                <w:sz w:val="17"/>
              </w:rPr>
              <w:t>Partnership diligence only if the identity is corrected.</w:t>
            </w:r>
          </w:p>
        </w:tc>
      </w:tr>
      <w:tr>
        <w:tc>
          <w:tcPr>
            <w:tcW w:type="dxa" w:w="1944"/>
            <w:vAlign w:val="center"/>
            <w:shd w:fill="F2F4F6"/>
          </w:tcPr>
          <w:p>
            <w:r/>
            <w:r>
              <w:rPr>
                <w:rFonts w:ascii="Aptos" w:hAnsi="Aptos"/>
                <w:b w:val="0"/>
                <w:sz w:val="17"/>
              </w:rPr>
              <w:t>Competitive intensity</w:t>
            </w:r>
          </w:p>
        </w:tc>
        <w:tc>
          <w:tcPr>
            <w:tcW w:type="dxa" w:w="4896"/>
            <w:vAlign w:val="center"/>
            <w:shd w:fill="F2F4F6"/>
          </w:tcPr>
          <w:p>
            <w:r/>
            <w:r>
              <w:rPr>
                <w:rFonts w:ascii="Aptos" w:hAnsi="Aptos"/>
                <w:b w:val="0"/>
                <w:sz w:val="17"/>
              </w:rPr>
              <w:t>Rheumatoid arthritis is a crowded biologics arena.</w:t>
            </w:r>
          </w:p>
        </w:tc>
        <w:tc>
          <w:tcPr>
            <w:tcW w:type="dxa" w:w="3384"/>
            <w:vAlign w:val="center"/>
            <w:shd w:fill="F2F4F6"/>
          </w:tcPr>
          <w:p>
            <w:r/>
            <w:r>
              <w:rPr>
                <w:rFonts w:ascii="Aptos" w:hAnsi="Aptos"/>
                <w:b w:val="0"/>
                <w:sz w:val="17"/>
              </w:rPr>
              <w:t>Commercial case must be exceptional to justify entry.</w:t>
            </w:r>
          </w:p>
        </w:tc>
      </w:tr>
    </w:tbl>
    <w:p>
      <w:pPr>
        <w:spacing w:after="40"/>
      </w:pPr>
    </w:p>
    <w:p>
      <w:pPr>
        <w:pStyle w:val="Heading1"/>
        <w:keepNext/>
      </w:pPr>
      <w:r>
        <w:t>8. Clinical, Safety, and Regulatory Interpretation</w:t>
      </w:r>
    </w:p>
    <w:p>
      <w:pPr>
        <w:pStyle w:val="ListBullet"/>
      </w:pPr>
      <w:r>
        <w:t>Empagliflozin has a strong outcomes-based evidence platform extending beyond glycemic control.</w:t>
      </w:r>
    </w:p>
    <w:p>
      <w:pPr>
        <w:pStyle w:val="ListBullet"/>
      </w:pPr>
      <w:r>
        <w:t>Current FDA labeling includes heart failure, chronic kidney disease, cardiovascular-risk reduction in defined patients, and glycemic control indications.</w:t>
      </w:r>
    </w:p>
    <w:p>
      <w:pPr>
        <w:pStyle w:val="ListBullet"/>
      </w:pPr>
      <w:r>
        <w:t>Benefit-risk communication must visibly include ketoacidosis, volume depletion, genitourinary infection, hypoglycemia with insulin/secretagogues, perioperative interruption, and other current label controls.</w:t>
      </w:r>
    </w:p>
    <w:p>
      <w:pPr>
        <w:pStyle w:val="ListBullet"/>
      </w:pPr>
      <w:r>
        <w:t>Exact India-approved indications, restrictions, safety wording, and use conditions must govern any local content.</w:t>
      </w:r>
    </w:p>
    <w:p>
      <w:pPr>
        <w:pStyle w:val="Heading1"/>
        <w:keepNext/>
      </w:pPr>
      <w:r>
        <w:t>9. Cross-Functional Diligence Plan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18324A"/>
          </w:tcPr>
          <w:p>
            <w:r/>
            <w:r>
              <w:rPr>
                <w:rFonts w:ascii="Aptos" w:hAnsi="Aptos"/>
                <w:b/>
                <w:color w:val="FFFFFF"/>
                <w:sz w:val="17"/>
              </w:rPr>
              <w:t>Function</w:t>
            </w:r>
          </w:p>
        </w:tc>
        <w:tc>
          <w:tcPr>
            <w:tcW w:type="dxa" w:w="7128"/>
            <w:vAlign w:val="center"/>
            <w:shd w:fill="18324A"/>
          </w:tcPr>
          <w:p>
            <w:r/>
            <w:r>
              <w:rPr>
                <w:rFonts w:ascii="Aptos" w:hAnsi="Aptos"/>
                <w:b/>
                <w:color w:val="FFFFFF"/>
                <w:sz w:val="17"/>
              </w:rPr>
              <w:t>Required action</w:t>
            </w:r>
          </w:p>
        </w:tc>
        <w:tc>
          <w:tcPr>
            <w:tcW w:type="dxa" w:w="1152"/>
            <w:vAlign w:val="center"/>
            <w:shd w:fill="18324A"/>
          </w:tcPr>
          <w:p>
            <w:r/>
            <w:r>
              <w:rPr>
                <w:rFonts w:ascii="Aptos" w:hAnsi="Aptos"/>
                <w:b/>
                <w:color w:val="FFFFFF"/>
                <w:sz w:val="17"/>
              </w:rPr>
              <w:t>Priority</w:t>
            </w:r>
          </w:p>
        </w:tc>
      </w:tr>
      <w:tr>
        <w:tc>
          <w:tcPr>
            <w:tcW w:type="dxa" w:w="1944"/>
            <w:vAlign w:val="center"/>
            <w:shd w:fill="FFFFFF"/>
          </w:tcPr>
          <w:p>
            <w:r/>
            <w:r>
              <w:rPr>
                <w:rFonts w:ascii="Aptos" w:hAnsi="Aptos"/>
                <w:b w:val="0"/>
                <w:sz w:val="17"/>
              </w:rPr>
              <w:t>Regulatory</w:t>
            </w:r>
          </w:p>
        </w:tc>
        <w:tc>
          <w:tcPr>
            <w:tcW w:type="dxa" w:w="7128"/>
            <w:vAlign w:val="center"/>
            <w:shd w:fill="FFFFFF"/>
          </w:tcPr>
          <w:p>
            <w:r/>
            <w:r>
              <w:rPr>
                <w:rFonts w:ascii="Aptos" w:hAnsi="Aptos"/>
                <w:b w:val="0"/>
                <w:sz w:val="17"/>
              </w:rPr>
              <w:t>Verify current India approval status, approved indications, dose, safety language, and change history.</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Medical and PV</w:t>
            </w:r>
          </w:p>
        </w:tc>
        <w:tc>
          <w:tcPr>
            <w:tcW w:type="dxa" w:w="7128"/>
            <w:vAlign w:val="center"/>
            <w:shd w:fill="F2F4F6"/>
          </w:tcPr>
          <w:p>
            <w:r/>
            <w:r>
              <w:rPr>
                <w:rFonts w:ascii="Aptos" w:hAnsi="Aptos"/>
                <w:b w:val="0"/>
                <w:sz w:val="17"/>
              </w:rPr>
              <w:t>Complete evidence synthesis, local safety assessment, and risk-communication plan.</w:t>
            </w:r>
          </w:p>
        </w:tc>
        <w:tc>
          <w:tcPr>
            <w:tcW w:type="dxa" w:w="1152"/>
            <w:vAlign w:val="center"/>
            <w:shd w:fill="F2F4F6"/>
          </w:tcPr>
          <w:p>
            <w:r/>
            <w:r>
              <w:rPr>
                <w:rFonts w:ascii="Aptos" w:hAnsi="Aptos"/>
                <w:b w:val="0"/>
                <w:sz w:val="17"/>
              </w:rPr>
              <w:t>Critical</w:t>
            </w:r>
          </w:p>
        </w:tc>
      </w:tr>
      <w:tr>
        <w:tc>
          <w:tcPr>
            <w:tcW w:type="dxa" w:w="1944"/>
            <w:vAlign w:val="center"/>
            <w:shd w:fill="FFFFFF"/>
          </w:tcPr>
          <w:p>
            <w:r/>
            <w:r>
              <w:rPr>
                <w:rFonts w:ascii="Aptos" w:hAnsi="Aptos"/>
                <w:b w:val="0"/>
                <w:sz w:val="17"/>
              </w:rPr>
              <w:t>Patent and legal</w:t>
            </w:r>
          </w:p>
        </w:tc>
        <w:tc>
          <w:tcPr>
            <w:tcW w:type="dxa" w:w="7128"/>
            <w:vAlign w:val="center"/>
            <w:shd w:fill="FFFFFF"/>
          </w:tcPr>
          <w:p>
            <w:r/>
            <w:r>
              <w:rPr>
                <w:rFonts w:ascii="Aptos" w:hAnsi="Aptos"/>
                <w:b w:val="0"/>
                <w:sz w:val="17"/>
              </w:rPr>
              <w:t>Complete India patent landscape, exclusivity, FTO, litigation, and licensing assessment.</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Commercial and market access</w:t>
            </w:r>
          </w:p>
        </w:tc>
        <w:tc>
          <w:tcPr>
            <w:tcW w:type="dxa" w:w="7128"/>
            <w:vAlign w:val="center"/>
            <w:shd w:fill="F2F4F6"/>
          </w:tcPr>
          <w:p>
            <w:r/>
            <w:r>
              <w:rPr>
                <w:rFonts w:ascii="Aptos" w:hAnsi="Aptos"/>
                <w:b w:val="0"/>
                <w:sz w:val="17"/>
              </w:rPr>
              <w:t>Validate market size, competitors, prices, affordability, channels, forecast, and portfolio fit.</w:t>
            </w:r>
          </w:p>
        </w:tc>
        <w:tc>
          <w:tcPr>
            <w:tcW w:type="dxa" w:w="1152"/>
            <w:vAlign w:val="center"/>
            <w:shd w:fill="F2F4F6"/>
          </w:tcPr>
          <w:p>
            <w:r/>
            <w:r>
              <w:rPr>
                <w:rFonts w:ascii="Aptos" w:hAnsi="Aptos"/>
                <w:b w:val="0"/>
                <w:sz w:val="17"/>
              </w:rPr>
              <w:t>Major</w:t>
            </w:r>
          </w:p>
        </w:tc>
      </w:tr>
      <w:tr>
        <w:tc>
          <w:tcPr>
            <w:tcW w:type="dxa" w:w="1944"/>
            <w:vAlign w:val="center"/>
            <w:shd w:fill="FFFFFF"/>
          </w:tcPr>
          <w:p>
            <w:r/>
            <w:r>
              <w:rPr>
                <w:rFonts w:ascii="Aptos" w:hAnsi="Aptos"/>
                <w:b w:val="0"/>
                <w:sz w:val="17"/>
              </w:rPr>
              <w:t>CMC and supply</w:t>
            </w:r>
          </w:p>
        </w:tc>
        <w:tc>
          <w:tcPr>
            <w:tcW w:type="dxa" w:w="7128"/>
            <w:vAlign w:val="center"/>
            <w:shd w:fill="FFFFFF"/>
          </w:tcPr>
          <w:p>
            <w:r/>
            <w:r>
              <w:rPr>
                <w:rFonts w:ascii="Aptos" w:hAnsi="Aptos"/>
                <w:b w:val="0"/>
                <w:sz w:val="17"/>
              </w:rPr>
              <w:t>Validate API source, cost, DMF, quality, capacity, stability, formulation, and launch feasibility.</w:t>
            </w:r>
          </w:p>
        </w:tc>
        <w:tc>
          <w:tcPr>
            <w:tcW w:type="dxa" w:w="1152"/>
            <w:vAlign w:val="center"/>
            <w:shd w:fill="FFFFFF"/>
          </w:tcPr>
          <w:p>
            <w:r/>
            <w:r>
              <w:rPr>
                <w:rFonts w:ascii="Aptos" w:hAnsi="Aptos"/>
                <w:b w:val="0"/>
                <w:sz w:val="17"/>
              </w:rPr>
              <w:t>Major</w:t>
            </w:r>
          </w:p>
        </w:tc>
      </w:tr>
      <w:tr>
        <w:tc>
          <w:tcPr>
            <w:tcW w:type="dxa" w:w="1944"/>
            <w:vAlign w:val="center"/>
            <w:shd w:fill="F2F4F6"/>
          </w:tcPr>
          <w:p>
            <w:r/>
            <w:r>
              <w:rPr>
                <w:rFonts w:ascii="Aptos" w:hAnsi="Aptos"/>
                <w:b w:val="0"/>
                <w:sz w:val="17"/>
              </w:rPr>
              <w:t>Quality</w:t>
            </w:r>
          </w:p>
        </w:tc>
        <w:tc>
          <w:tcPr>
            <w:tcW w:type="dxa" w:w="7128"/>
            <w:vAlign w:val="center"/>
            <w:shd w:fill="F2F4F6"/>
          </w:tcPr>
          <w:p>
            <w:r/>
            <w:r>
              <w:rPr>
                <w:rFonts w:ascii="Aptos" w:hAnsi="Aptos"/>
                <w:b w:val="0"/>
                <w:sz w:val="17"/>
              </w:rPr>
              <w:t>Confirm approved SOP, qualified reviewers, traceability, and controlled record requirements.</w:t>
            </w:r>
          </w:p>
        </w:tc>
        <w:tc>
          <w:tcPr>
            <w:tcW w:type="dxa" w:w="1152"/>
            <w:vAlign w:val="center"/>
            <w:shd w:fill="F2F4F6"/>
          </w:tcPr>
          <w:p>
            <w:r/>
            <w:r>
              <w:rPr>
                <w:rFonts w:ascii="Aptos" w:hAnsi="Aptos"/>
                <w:b w:val="0"/>
                <w:sz w:val="17"/>
              </w:rPr>
              <w:t>Major</w:t>
            </w:r>
          </w:p>
        </w:tc>
      </w:tr>
    </w:tbl>
    <w:p>
      <w:pPr>
        <w:spacing w:after="40"/>
      </w:pPr>
    </w:p>
    <w:p>
      <w:pPr>
        <w:pStyle w:val="Heading1"/>
        <w:keepNext/>
      </w:pPr>
      <w:r>
        <w:t>10. Preliminary Go/No-Go Interpretation</w:t>
      </w:r>
    </w:p>
    <w:p>
      <w:r>
        <w:rPr>
          <w:b/>
        </w:rPr>
        <w:t xml:space="preserve">No-Go as requested; conditional diligence only if the molecule is corrected to olokizumab and rights/data access are secured. </w:t>
      </w:r>
      <w:r>
        <w:t>Do not progress the project as 'Olonacimab' because the name could not be verified. If the intention was olokizumab, the molecule remains a high-complexity biologic with no verified major-market approval and should be considered only for partnership or due-diligence review, not immediate standalone development.</w:t>
      </w:r>
    </w:p>
    <w:p>
      <w:r>
        <w:rPr>
          <w:b/>
        </w:rPr>
        <w:t xml:space="preserve">Decision boundary: </w:t>
      </w:r>
      <w:r>
        <w:t>The numeric score does not override unresolved critical red flags. This output supports diligence planning only.</w:t>
      </w:r>
    </w:p>
    <w:p>
      <w:pPr>
        <w:pStyle w:val="Heading1"/>
        <w:keepNext/>
      </w:pPr>
      <w:r>
        <w:t>11. Source Register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shd w:fill="18324A"/>
          </w:tcPr>
          <w:p>
            <w:r/>
            <w:r>
              <w:rPr>
                <w:rFonts w:ascii="Aptos" w:hAnsi="Aptos"/>
                <w:b/>
                <w:color w:val="FFFFFF"/>
                <w:sz w:val="17"/>
              </w:rPr>
              <w:t>Source</w:t>
            </w:r>
          </w:p>
        </w:tc>
        <w:tc>
          <w:tcPr>
            <w:tcW w:type="dxa" w:w="4752"/>
            <w:vAlign w:val="center"/>
            <w:shd w:fill="18324A"/>
          </w:tcPr>
          <w:p>
            <w:r/>
            <w:r>
              <w:rPr>
                <w:rFonts w:ascii="Aptos" w:hAnsi="Aptos"/>
                <w:b/>
                <w:color w:val="FFFFFF"/>
                <w:sz w:val="17"/>
              </w:rPr>
              <w:t>Title</w:t>
            </w:r>
          </w:p>
        </w:tc>
        <w:tc>
          <w:tcPr>
            <w:tcW w:type="dxa" w:w="3312"/>
            <w:vAlign w:val="center"/>
            <w:shd w:fill="18324A"/>
          </w:tcPr>
          <w:p>
            <w:r/>
            <w:r>
              <w:rPr>
                <w:rFonts w:ascii="Aptos" w:hAnsi="Aptos"/>
                <w:b/>
                <w:color w:val="FFFFFF"/>
                <w:sz w:val="17"/>
              </w:rPr>
              <w:t>URL</w:t>
            </w:r>
          </w:p>
        </w:tc>
      </w:tr>
      <w:tr>
        <w:tc>
          <w:tcPr>
            <w:tcW w:type="dxa" w:w="2160"/>
            <w:vAlign w:val="center"/>
            <w:shd w:fill="FFFFFF"/>
          </w:tcPr>
          <w:p>
            <w:r/>
            <w:r>
              <w:rPr>
                <w:rFonts w:ascii="Aptos" w:hAnsi="Aptos"/>
                <w:b w:val="0"/>
                <w:sz w:val="17"/>
              </w:rPr>
              <w:t>CDSCO</w:t>
            </w:r>
          </w:p>
        </w:tc>
        <w:tc>
          <w:tcPr>
            <w:tcW w:type="dxa" w:w="4752"/>
            <w:vAlign w:val="center"/>
            <w:shd w:fill="FFFFFF"/>
          </w:tcPr>
          <w:p>
            <w:r/>
            <w:r>
              <w:rPr>
                <w:rFonts w:ascii="Aptos" w:hAnsi="Aptos"/>
                <w:b w:val="0"/>
                <w:sz w:val="17"/>
              </w:rPr>
              <w:t>Olokizumab phase III clinical-trial permission in India</w:t>
            </w:r>
          </w:p>
        </w:tc>
        <w:tc>
          <w:tcPr>
            <w:tcW w:type="dxa" w:w="3312"/>
            <w:vAlign w:val="center"/>
            <w:shd w:fill="FFFFFF"/>
          </w:tcPr>
          <w:p>
            <w:r/>
            <w:r>
              <w:rPr>
                <w:rFonts w:ascii="Aptos" w:hAnsi="Aptos"/>
                <w:b w:val="0"/>
                <w:sz w:val="17"/>
              </w:rPr>
              <w:t>https://www.cdsco.gov.in/opencms/resources/UploadCDSCOWeb/2018/UploadCTApprovals/6.%20DRL%20Olokizumab.pdf</w:t>
            </w:r>
          </w:p>
        </w:tc>
      </w:tr>
      <w:tr>
        <w:tc>
          <w:tcPr>
            <w:tcW w:type="dxa" w:w="2160"/>
            <w:vAlign w:val="center"/>
            <w:shd w:fill="F2F4F6"/>
          </w:tcPr>
          <w:p>
            <w:r/>
            <w:r>
              <w:rPr>
                <w:rFonts w:ascii="Aptos" w:hAnsi="Aptos"/>
                <w:b w:val="0"/>
                <w:sz w:val="17"/>
              </w:rPr>
              <w:t>PMC 8921576</w:t>
            </w:r>
          </w:p>
        </w:tc>
        <w:tc>
          <w:tcPr>
            <w:tcW w:type="dxa" w:w="4752"/>
            <w:vAlign w:val="center"/>
            <w:shd w:fill="F2F4F6"/>
          </w:tcPr>
          <w:p>
            <w:r/>
            <w:r>
              <w:rPr>
                <w:rFonts w:ascii="Aptos" w:hAnsi="Aptos"/>
                <w:b w:val="0"/>
                <w:sz w:val="17"/>
              </w:rPr>
              <w:t>Olokizumab in patients with active rheumatoid arthritis despite methotrexate</w:t>
            </w:r>
          </w:p>
        </w:tc>
        <w:tc>
          <w:tcPr>
            <w:tcW w:type="dxa" w:w="3312"/>
            <w:vAlign w:val="center"/>
            <w:shd w:fill="F2F4F6"/>
          </w:tcPr>
          <w:p>
            <w:r/>
            <w:r>
              <w:rPr>
                <w:rFonts w:ascii="Aptos" w:hAnsi="Aptos"/>
                <w:b w:val="0"/>
                <w:sz w:val="17"/>
              </w:rPr>
              <w:t>https://pmc.ncbi.nlm.nih.gov/articles/PMC8921576/</w:t>
            </w:r>
          </w:p>
        </w:tc>
      </w:tr>
      <w:tr>
        <w:tc>
          <w:tcPr>
            <w:tcW w:type="dxa" w:w="2160"/>
            <w:vAlign w:val="center"/>
            <w:shd w:fill="FFFFFF"/>
          </w:tcPr>
          <w:p>
            <w:r/>
            <w:r>
              <w:rPr>
                <w:rFonts w:ascii="Aptos" w:hAnsi="Aptos"/>
                <w:b w:val="0"/>
                <w:sz w:val="17"/>
              </w:rPr>
              <w:t>PMC 9664111</w:t>
            </w:r>
          </w:p>
        </w:tc>
        <w:tc>
          <w:tcPr>
            <w:tcW w:type="dxa" w:w="4752"/>
            <w:vAlign w:val="center"/>
            <w:shd w:fill="FFFFFF"/>
          </w:tcPr>
          <w:p>
            <w:r/>
            <w:r>
              <w:rPr>
                <w:rFonts w:ascii="Aptos" w:hAnsi="Aptos"/>
                <w:b w:val="0"/>
                <w:sz w:val="17"/>
              </w:rPr>
              <w:t>Olokizumab in patients with rheumatoid arthritis inadequately controlled by TNF inhibitor therapy</w:t>
            </w:r>
          </w:p>
        </w:tc>
        <w:tc>
          <w:tcPr>
            <w:tcW w:type="dxa" w:w="3312"/>
            <w:vAlign w:val="center"/>
            <w:shd w:fill="FFFFFF"/>
          </w:tcPr>
          <w:p>
            <w:r/>
            <w:r>
              <w:rPr>
                <w:rFonts w:ascii="Aptos" w:hAnsi="Aptos"/>
                <w:b w:val="0"/>
                <w:sz w:val="17"/>
              </w:rPr>
              <w:t>https://pmc.ncbi.nlm.nih.gov/articles/PMC9664111/</w:t>
            </w:r>
          </w:p>
        </w:tc>
      </w:tr>
      <w:tr>
        <w:tc>
          <w:tcPr>
            <w:tcW w:type="dxa" w:w="2160"/>
            <w:vAlign w:val="center"/>
            <w:shd w:fill="F2F4F6"/>
          </w:tcPr>
          <w:p>
            <w:r/>
            <w:r>
              <w:rPr>
                <w:rFonts w:ascii="Aptos" w:hAnsi="Aptos"/>
                <w:b w:val="0"/>
                <w:sz w:val="17"/>
              </w:rPr>
              <w:t>PMC 10202974</w:t>
            </w:r>
          </w:p>
        </w:tc>
        <w:tc>
          <w:tcPr>
            <w:tcW w:type="dxa" w:w="4752"/>
            <w:vAlign w:val="center"/>
            <w:shd w:fill="F2F4F6"/>
          </w:tcPr>
          <w:p>
            <w:r/>
            <w:r>
              <w:rPr>
                <w:rFonts w:ascii="Aptos" w:hAnsi="Aptos"/>
                <w:b w:val="0"/>
                <w:sz w:val="17"/>
              </w:rPr>
              <w:t>Systematic review, pairwise, and network meta-analysis of olokizumab in RA</w:t>
            </w:r>
          </w:p>
        </w:tc>
        <w:tc>
          <w:tcPr>
            <w:tcW w:type="dxa" w:w="3312"/>
            <w:vAlign w:val="center"/>
            <w:shd w:fill="F2F4F6"/>
          </w:tcPr>
          <w:p>
            <w:r/>
            <w:r>
              <w:rPr>
                <w:rFonts w:ascii="Aptos" w:hAnsi="Aptos"/>
                <w:b w:val="0"/>
                <w:sz w:val="17"/>
              </w:rPr>
              <w:t>https://pmc.ncbi.nlm.nih.gov/articles/PMC10202974/</w:t>
            </w:r>
          </w:p>
        </w:tc>
      </w:tr>
      <w:tr>
        <w:tc>
          <w:tcPr>
            <w:tcW w:type="dxa" w:w="2160"/>
            <w:vAlign w:val="center"/>
            <w:shd w:fill="FFFFFF"/>
          </w:tcPr>
          <w:p>
            <w:r/>
            <w:r>
              <w:rPr>
                <w:rFonts w:ascii="Aptos" w:hAnsi="Aptos"/>
                <w:b w:val="0"/>
                <w:sz w:val="17"/>
              </w:rPr>
              <w:t>PMC 9770405</w:t>
            </w:r>
          </w:p>
        </w:tc>
        <w:tc>
          <w:tcPr>
            <w:tcW w:type="dxa" w:w="4752"/>
            <w:vAlign w:val="center"/>
            <w:shd w:fill="FFFFFF"/>
          </w:tcPr>
          <w:p>
            <w:r/>
            <w:r>
              <w:rPr>
                <w:rFonts w:ascii="Aptos" w:hAnsi="Aptos"/>
                <w:b w:val="0"/>
                <w:sz w:val="17"/>
              </w:rPr>
              <w:t>Long-term safety and efficacy of olokizumab in phase II studies</w:t>
            </w:r>
          </w:p>
        </w:tc>
        <w:tc>
          <w:tcPr>
            <w:tcW w:type="dxa" w:w="3312"/>
            <w:vAlign w:val="center"/>
            <w:shd w:fill="FFFFFF"/>
          </w:tcPr>
          <w:p>
            <w:r/>
            <w:r>
              <w:rPr>
                <w:rFonts w:ascii="Aptos" w:hAnsi="Aptos"/>
                <w:b w:val="0"/>
                <w:sz w:val="17"/>
              </w:rPr>
              <w:t>https://pmc.ncbi.nlm.nih.gov/articles/PMC9770405/</w:t>
            </w:r>
          </w:p>
        </w:tc>
      </w:tr>
    </w:tbl>
    <w:p>
      <w:pPr>
        <w:spacing w:after="40"/>
      </w:pPr>
    </w:p>
    <w:p>
      <w:pPr>
        <w:pStyle w:val="Heading1"/>
        <w:keepNext/>
      </w:pPr>
      <w:r>
        <w:t>12. Qualification and Review Status</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vAlign w:val="center"/>
            <w:shd w:fill="137C7B"/>
          </w:tcPr>
          <w:p>
            <w:r/>
            <w:r>
              <w:rPr>
                <w:rFonts w:ascii="Aptos" w:hAnsi="Aptos"/>
                <w:b/>
                <w:color w:val="FFFFFF"/>
                <w:sz w:val="17"/>
              </w:rPr>
              <w:t>Control</w:t>
            </w:r>
          </w:p>
        </w:tc>
        <w:tc>
          <w:tcPr>
            <w:tcW w:type="dxa" w:w="7056"/>
            <w:vAlign w:val="center"/>
            <w:shd w:fill="137C7B"/>
          </w:tcPr>
          <w:p>
            <w:r/>
            <w:r>
              <w:rPr>
                <w:rFonts w:ascii="Aptos" w:hAnsi="Aptos"/>
                <w:b/>
                <w:color w:val="FFFFFF"/>
                <w:sz w:val="17"/>
              </w:rPr>
              <w:t>Status</w:t>
            </w:r>
          </w:p>
        </w:tc>
      </w:tr>
      <w:tr>
        <w:tc>
          <w:tcPr>
            <w:tcW w:type="dxa" w:w="3168"/>
            <w:vAlign w:val="center"/>
            <w:shd w:fill="FFFFFF"/>
          </w:tcPr>
          <w:p>
            <w:r/>
            <w:r>
              <w:rPr>
                <w:rFonts w:ascii="Aptos" w:hAnsi="Aptos"/>
                <w:b w:val="0"/>
                <w:sz w:val="17"/>
              </w:rPr>
              <w:t>Business SOP consulted</w:t>
            </w:r>
          </w:p>
        </w:tc>
        <w:tc>
          <w:tcPr>
            <w:tcW w:type="dxa" w:w="7056"/>
            <w:vAlign w:val="center"/>
            <w:shd w:fill="FFFFFF"/>
          </w:tcPr>
          <w:p>
            <w:r/>
            <w:r>
              <w:rPr>
                <w:rFonts w:ascii="Aptos" w:hAnsi="Aptos"/>
                <w:b w:val="0"/>
                <w:sz w:val="17"/>
              </w:rPr>
              <w:t>Owner-supplied Product Appraisal SOP used as structural reference</w:t>
            </w:r>
          </w:p>
        </w:tc>
      </w:tr>
      <w:tr>
        <w:tc>
          <w:tcPr>
            <w:tcW w:type="dxa" w:w="3168"/>
            <w:vAlign w:val="center"/>
            <w:shd w:fill="F2F4F6"/>
          </w:tcPr>
          <w:p>
            <w:r/>
            <w:r>
              <w:rPr>
                <w:rFonts w:ascii="Aptos" w:hAnsi="Aptos"/>
                <w:b w:val="0"/>
                <w:sz w:val="17"/>
              </w:rPr>
              <w:t>Skill consulted</w:t>
            </w:r>
          </w:p>
        </w:tc>
        <w:tc>
          <w:tcPr>
            <w:tcW w:type="dxa" w:w="7056"/>
            <w:vAlign w:val="center"/>
            <w:shd w:fill="F2F4F6"/>
          </w:tcPr>
          <w:p>
            <w:r/>
            <w:r>
              <w:rPr>
                <w:rFonts w:ascii="Aptos" w:hAnsi="Aptos"/>
                <w:b w:val="0"/>
                <w:sz w:val="17"/>
              </w:rPr>
              <w:t>Owner-supplied Pharma Product Appraisal Skill Template used for scoring and content architecture</w:t>
            </w:r>
          </w:p>
        </w:tc>
      </w:tr>
      <w:tr>
        <w:tc>
          <w:tcPr>
            <w:tcW w:type="dxa" w:w="3168"/>
            <w:vAlign w:val="center"/>
            <w:shd w:fill="FFFFFF"/>
          </w:tcPr>
          <w:p>
            <w:r/>
            <w:r>
              <w:rPr>
                <w:rFonts w:ascii="Aptos" w:hAnsi="Aptos"/>
                <w:b w:val="0"/>
                <w:sz w:val="17"/>
              </w:rPr>
              <w:t>Evidence handling</w:t>
            </w:r>
          </w:p>
        </w:tc>
        <w:tc>
          <w:tcPr>
            <w:tcW w:type="dxa" w:w="7056"/>
            <w:vAlign w:val="center"/>
            <w:shd w:fill="FFFFFF"/>
          </w:tcPr>
          <w:p>
            <w:r/>
            <w:r>
              <w:rPr>
                <w:rFonts w:ascii="Aptos" w:hAnsi="Aptos"/>
                <w:b w:val="0"/>
                <w:sz w:val="17"/>
              </w:rPr>
              <w:t>Authoritative and peer-reviewed sources used; unavailable data explicitly marked</w:t>
            </w:r>
          </w:p>
        </w:tc>
      </w:tr>
      <w:tr>
        <w:tc>
          <w:tcPr>
            <w:tcW w:type="dxa" w:w="3168"/>
            <w:vAlign w:val="center"/>
            <w:shd w:fill="F2F4F6"/>
          </w:tcPr>
          <w:p>
            <w:r/>
            <w:r>
              <w:rPr>
                <w:rFonts w:ascii="Aptos" w:hAnsi="Aptos"/>
                <w:b w:val="0"/>
                <w:sz w:val="17"/>
              </w:rPr>
              <w:t>AI-generated content</w:t>
            </w:r>
          </w:p>
        </w:tc>
        <w:tc>
          <w:tcPr>
            <w:tcW w:type="dxa" w:w="7056"/>
            <w:vAlign w:val="center"/>
            <w:shd w:fill="F2F4F6"/>
          </w:tcPr>
          <w:p>
            <w:r/>
            <w:r>
              <w:rPr>
                <w:rFonts w:ascii="Aptos" w:hAnsi="Aptos"/>
                <w:b w:val="0"/>
                <w:sz w:val="17"/>
              </w:rPr>
              <w:t>Qualification draft requiring qualified human review</w:t>
            </w:r>
          </w:p>
        </w:tc>
      </w:tr>
      <w:tr>
        <w:tc>
          <w:tcPr>
            <w:tcW w:type="dxa" w:w="3168"/>
            <w:vAlign w:val="center"/>
            <w:shd w:fill="FFFFFF"/>
          </w:tcPr>
          <w:p>
            <w:r/>
            <w:r>
              <w:rPr>
                <w:rFonts w:ascii="Aptos" w:hAnsi="Aptos"/>
                <w:b w:val="0"/>
                <w:sz w:val="17"/>
              </w:rPr>
              <w:t>Internal approval</w:t>
            </w:r>
          </w:p>
        </w:tc>
        <w:tc>
          <w:tcPr>
            <w:tcW w:type="dxa" w:w="7056"/>
            <w:vAlign w:val="center"/>
            <w:shd w:fill="FFFFFF"/>
          </w:tcPr>
          <w:p>
            <w:r/>
            <w:r>
              <w:rPr>
                <w:rFonts w:ascii="Aptos" w:hAnsi="Aptos"/>
                <w:b w:val="0"/>
                <w:sz w:val="17"/>
              </w:rPr>
              <w:t>Pending qualification review</w:t>
            </w:r>
          </w:p>
        </w:tc>
      </w:tr>
      <w:tr>
        <w:tc>
          <w:tcPr>
            <w:tcW w:type="dxa" w:w="3168"/>
            <w:vAlign w:val="center"/>
            <w:shd w:fill="F2F4F6"/>
          </w:tcPr>
          <w:p>
            <w:r/>
            <w:r>
              <w:rPr>
                <w:rFonts w:ascii="Aptos" w:hAnsi="Aptos"/>
                <w:b w:val="0"/>
                <w:sz w:val="17"/>
              </w:rPr>
              <w:t>External use</w:t>
            </w:r>
          </w:p>
        </w:tc>
        <w:tc>
          <w:tcPr>
            <w:tcW w:type="dxa" w:w="7056"/>
            <w:vAlign w:val="center"/>
            <w:shd w:fill="F2F4F6"/>
          </w:tcPr>
          <w:p>
            <w:r/>
            <w:r>
              <w:rPr>
                <w:rFonts w:ascii="Aptos" w:hAnsi="Aptos"/>
                <w:b w:val="0"/>
                <w:sz w:val="17"/>
              </w:rPr>
              <w:t>Prohibited</w:t>
            </w:r>
          </w:p>
        </w:tc>
      </w:tr>
    </w:tbl>
    <w:p>
      <w:pPr>
        <w:spacing w:after="40"/>
      </w:pPr>
    </w:p>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A7882"/>
        <w:sz w:val="14"/>
      </w:rPr>
      <w:t>ClinCommand OS | Internal Qualification Output | Dr. Bhupesh Dewan, Mumbai, Maharashtra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7C7B"/>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32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