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37C7B"/>
          <w:sz w:val="26"/>
        </w:rPr>
        <w:t>CLINCOMMAND OS</w:t>
      </w:r>
    </w:p>
    <w:p>
      <w:pPr>
        <w:pStyle w:val="Title"/>
        <w:jc w:val="center"/>
      </w:pPr>
      <w:r>
        <w:t>Product Appraisal</w:t>
        <w:br/>
        <w:t>Product Appraisal Activity Qualification Report</w:t>
      </w:r>
    </w:p>
    <w:p>
      <w:pPr>
        <w:jc w:val="center"/>
      </w:pPr>
      <w:r>
        <w:rPr>
          <w:i/>
          <w:color w:val="18324A"/>
          <w:sz w:val="24"/>
        </w:rPr>
        <w:t>Comparison of Trelagliptin and Empagliflozin Appraisal Outputs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 Field</w:t>
            </w:r>
          </w:p>
        </w:tc>
        <w:tc>
          <w:tcPr>
            <w:tcW w:type="dxa" w:w="763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run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QUAL-MA-PA-001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Verified INN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Two-run qualification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Intended use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Internal preliminary portfolio and medical-strategy appraisal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Evidence cut-off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6 June 2026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Document status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draft - not approved for external use or final Go/No-Go decision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Dr. Bhupesh Dewan, Mumbai, Maharashtra, India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b/>
          <w:color w:val="A34A00"/>
        </w:rPr>
        <w:t>IMPORTANT LIMITATION</w:t>
        <w:br/>
      </w:r>
      <w:r>
        <w:rPr>
          <w:sz w:val="19"/>
        </w:rPr>
        <w:t>This appraisal is an architecture qualification output. Missing regulatory, patent, legal, pricing, market, CMC, API, supply, and company-strategy information is explicitly classified as data gaps and diligence gaps, not inferred.</w:t>
      </w:r>
    </w:p>
    <w:p>
      <w:r>
        <w:br w:type="page"/>
      </w:r>
    </w:p>
    <w:p>
      <w:pPr>
        <w:pStyle w:val="Heading1"/>
        <w:keepNext/>
      </w:pPr>
      <w:r>
        <w:t>1. Qualification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Run</w:t>
            </w:r>
          </w:p>
        </w:tc>
        <w:tc>
          <w:tcPr>
            <w:tcW w:type="dxa" w:w="5184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Preliminary document result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PA-Q1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PA-Q1_Trelagliptin_Product_Appraisal_R2.docx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independent review; architecture test intentionally contains material data gaps</w:t>
            </w:r>
          </w:p>
        </w:tc>
      </w:tr>
      <w:tr>
        <w:tc>
          <w:tcPr>
            <w:tcW w:type="dxa" w:w="115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PA-Q2</w:t>
            </w:r>
          </w:p>
        </w:tc>
        <w:tc>
          <w:tcPr>
            <w:tcW w:type="dxa" w:w="518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PA-Q2_Empagliflozin_Product_Appraisal_R2.docx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Pending independent review; architecture test covers a mature evidence-rich product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Preliminary Architecture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608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PA-Q1 Trelagliptin</w:t>
            </w:r>
          </w:p>
        </w:tc>
        <w:tc>
          <w:tcPr>
            <w:tcW w:type="dxa" w:w="4608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PA-Q2 Empagliflozin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Identity handling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requested-name discrepancy surfaced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INN verified</w:t>
            </w:r>
          </w:p>
        </w:tc>
      </w:tr>
      <w:tr>
        <w:tc>
          <w:tcPr>
            <w:tcW w:type="dxa" w:w="230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Evidence behavior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limited evidence and geography gaps disclosed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regulatory and pivotal evidence summarized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Data-gap behavior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no invented India approval, pricing, patent, API, or supply conclusions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local commercial and operational gaps disclosed</w:t>
            </w:r>
          </w:p>
        </w:tc>
      </w:tr>
      <w:tr>
        <w:tc>
          <w:tcPr>
            <w:tcW w:type="dxa" w:w="230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Score behavior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conservative scoring and red-flag override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strong science score balanced by commercial and safety diligence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Output usability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render and human review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render and human review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Required Human Review</w:t>
      </w:r>
    </w:p>
    <w:p>
      <w:pPr>
        <w:pStyle w:val="ListBullet"/>
      </w:pPr>
      <w:r>
        <w:t>Confirm the requested molecule name Trilagliptin should be interpreted as trelagliptin.</w:t>
      </w:r>
    </w:p>
    <w:p>
      <w:pPr>
        <w:pStyle w:val="ListBullet"/>
      </w:pPr>
      <w:r>
        <w:t>Review scientific interpretations and preliminary scores.</w:t>
      </w:r>
    </w:p>
    <w:p>
      <w:pPr>
        <w:pStyle w:val="ListBullet"/>
      </w:pPr>
      <w:r>
        <w:t>Provide or validate India regulatory, patent/FTO, pricing, market, API, supply, CMC, and company-strategy inputs.</w:t>
      </w:r>
    </w:p>
    <w:p>
      <w:pPr>
        <w:pStyle w:val="ListBullet"/>
      </w:pPr>
      <w:r>
        <w:t>Decide whether the 23-section structure and weighted scorecard adequately reflect the owner-supplied SOP and skill.</w:t>
      </w:r>
    </w:p>
    <w:p>
      <w:pPr>
        <w:pStyle w:val="ListBullet"/>
      </w:pPr>
      <w:r>
        <w:t>Record critical, major, and minor findings before architecture approval.</w:t>
      </w:r>
    </w:p>
    <w:p>
      <w:pPr>
        <w:pStyle w:val="Heading1"/>
        <w:keepNext/>
      </w:pPr>
      <w:r>
        <w:t>4. Preliminary Decision</w:t>
      </w:r>
    </w:p>
    <w:p>
      <w:r>
        <w:rPr>
          <w:b/>
        </w:rPr>
        <w:t xml:space="preserve">Conditional Pass pending render QA and qualified human review. </w:t>
      </w:r>
      <w:r>
        <w:t>The two outputs demonstrate that the activity can distinguish an uncertain, geography-limited opportunity from a mature evidence-rich product without filling missing data with invented conclusions. Final architecture approval must wait for recorded owner and expert findings.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A7882"/>
        <w:sz w:val="14"/>
      </w:rPr>
      <w:t>ClinCommand OS | Internal Qualification Output | Dr. Bhupesh Dewan, Mumbai, Maharashtra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C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