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w:hAnsi="Aptos"/>
          <w:b/>
          <w:i w:val="0"/>
          <w:color w:val="137C7B"/>
          <w:sz w:val="22"/>
        </w:rPr>
        <w:t>CLINCOMMAND OS</w:t>
      </w:r>
    </w:p>
    <w:p>
      <w:pPr>
        <w:spacing w:after="140"/>
        <w:jc w:val="center"/>
      </w:pPr>
      <w:r>
        <w:rPr>
          <w:rFonts w:ascii="Aptos Display" w:hAnsi="Aptos Display"/>
          <w:b/>
          <w:i w:val="0"/>
          <w:color w:val="18324A"/>
          <w:sz w:val="60"/>
        </w:rPr>
        <w:t>Trelagliptin</w:t>
      </w:r>
    </w:p>
    <w:p>
      <w:pPr>
        <w:spacing w:after="520"/>
        <w:jc w:val="center"/>
      </w:pPr>
      <w:r>
        <w:rPr>
          <w:rFonts w:ascii="Aptos Display" w:hAnsi="Aptos Display"/>
          <w:b w:val="0"/>
          <w:i w:val="0"/>
          <w:color w:val="137C7B"/>
          <w:sz w:val="32"/>
        </w:rPr>
        <w:t>Expanded HCP Scientific Product Monograph</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Scientific purpose</w:t>
            </w:r>
          </w:p>
          <w:p>
            <w:pPr>
              <w:spacing w:after="0" w:line="276" w:lineRule="auto"/>
            </w:pPr>
            <w:r>
              <w:rPr>
                <w:rFonts w:ascii="Aptos" w:hAnsi="Aptos"/>
                <w:b w:val="0"/>
                <w:i w:val="0"/>
                <w:color w:val="24313A"/>
                <w:sz w:val="19"/>
              </w:rPr>
              <w:t>A detailed scientific reference on a long-acting DPP-4 inhibitor developed for once-weekly administration in type 2 diabetes mellitus.</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7"/>
              </w:rPr>
              <w:t>Control field</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7"/>
              </w:rPr>
              <w:t>Value</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Document status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Expanded qualification draft; not approved for prescribing, promotion, or external distribution</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Intended audience</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Medical, regulatory, pharmacovigilance, compliance reviewers and qualified HCP-content reviewers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Owner</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Dr. Bhupesh Dewan, Mumbai, Maharashtra, India</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Evidence cut-off</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6 June 2026</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India indication context</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An India approval listing and an Indian phase 3 study were identified; exact current India package-insert wording remains to be verified.</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Critical boundary</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Japan-label dose and safety statements are scientific context and must not be silently transferred into India-facing prescribing information.</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Controlled sources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Owner-supplied Product Monograph SOP and World-Class HCP Product Monograph Skill consulted</w:t>
            </w:r>
          </w:p>
        </w:tc>
      </w:tr>
    </w:tbl>
    <w:p>
      <w:pPr>
        <w:spacing w:after="40"/>
      </w:pP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Mandatory use boundary</w:t>
            </w:r>
          </w:p>
          <w:p>
            <w:pPr>
              <w:spacing w:after="0" w:line="276" w:lineRule="auto"/>
            </w:pPr>
            <w:r>
              <w:rPr>
                <w:rFonts w:ascii="Aptos" w:hAnsi="Aptos"/>
                <w:b w:val="0"/>
                <w:i w:val="0"/>
                <w:color w:val="24313A"/>
                <w:sz w:val="19"/>
              </w:rPr>
              <w:t>This document is an expanded scientific qualification draft. It is designed to support medical review and HCP knowledge development, but it is not approved prescribing information and must not be used for prescribing, promotion, or external distribution until the current India-approved package insert, sponsor product particulars, and required medical, regulatory, pharmacovigilance, legal, and compliance approvals are incorporated.</w:t>
            </w:r>
          </w:p>
        </w:tc>
      </w:tr>
    </w:tbl>
    <w:p>
      <w:pPr>
        <w:spacing w:after="40"/>
      </w:pPr>
    </w:p>
    <w:p>
      <w:r>
        <w:br w:type="page"/>
      </w:r>
    </w:p>
    <w:p>
      <w:pPr>
        <w:pStyle w:val="Heading1"/>
        <w:keepNext/>
      </w:pPr>
      <w:r>
        <w:rPr>
          <w:rFonts w:ascii="Aptos" w:hAnsi="Aptos"/>
          <w:b/>
          <w:i w:val="0"/>
          <w:color w:val="18324A"/>
          <w:sz w:val="32"/>
        </w:rPr>
        <w:t>Document Control, Review, and Disclosure</w:t>
      </w:r>
    </w:p>
    <w:p>
      <w:pPr>
        <w:spacing w:after="140" w:line="283" w:lineRule="auto"/>
      </w:pPr>
      <w:r>
        <w:rPr>
          <w:rFonts w:ascii="Aptos" w:hAnsi="Aptos"/>
          <w:b w:val="0"/>
          <w:i w:val="0"/>
          <w:color w:val="24313A"/>
          <w:sz w:val="21"/>
        </w:rPr>
        <w:t>This monograph deliberately separates established evidence, jurisdiction-specific regulatory information, clinical interpretation, and unresolved gaps. International evidence is included to support scientific understanding; it must not be converted into an India-facing prescribing or promotional claim unless consistent with the current India-approved package insert.</w:t>
      </w:r>
    </w:p>
    <w:tbl>
      <w:tblPr>
        <w:tblStyle w:val="TableGrid"/>
        <w:tblW w:type="auto" w:w="0"/>
        <w:jc w:val="center"/>
        <w:tblLayout w:type="fixed"/>
        <w:tblLook w:firstColumn="1" w:firstRow="1" w:lastColumn="0" w:lastRow="0" w:noHBand="0" w:noVBand="1" w:val="04A0"/>
      </w:tblPr>
      <w:tblGrid>
        <w:gridCol w:w="2088"/>
        <w:gridCol w:w="6912"/>
      </w:tblGrid>
      <w:tr>
        <w:trPr>
          <w:tblHeader w:val="true"/>
        </w:trPr>
        <w:tc>
          <w:tcPr>
            <w:tcW w:type="dxa" w:w="4824"/>
            <w:shd w:fill="18324A"/>
            <w:tcMar>
              <w:top w:w="100" w:type="dxa"/>
              <w:start w:w="120" w:type="dxa"/>
              <w:bottom w:w="100" w:type="dxa"/>
              <w:end w:w="120" w:type="dxa"/>
            </w:tcMar>
            <w:vAlign w:val="center"/>
          </w:tcPr>
          <w:p>
            <w:pPr>
              <w:jc w:val="center"/>
            </w:pPr>
            <w:r/>
            <w:r>
              <w:rPr>
                <w:rFonts w:ascii="Aptos" w:hAnsi="Aptos"/>
                <w:b/>
                <w:i w:val="0"/>
                <w:color w:val="FFFFFF"/>
                <w:sz w:val="17"/>
              </w:rPr>
              <w:t>Review domain</w:t>
            </w:r>
          </w:p>
        </w:tc>
        <w:tc>
          <w:tcPr>
            <w:tcW w:type="dxa" w:w="4824"/>
            <w:shd w:fill="18324A"/>
            <w:tcMar>
              <w:top w:w="100" w:type="dxa"/>
              <w:start w:w="120" w:type="dxa"/>
              <w:bottom w:w="100" w:type="dxa"/>
              <w:end w:w="120" w:type="dxa"/>
            </w:tcMar>
            <w:vAlign w:val="center"/>
          </w:tcPr>
          <w:p>
            <w:pPr>
              <w:jc w:val="center"/>
            </w:pPr>
            <w:r/>
            <w:r>
              <w:rPr>
                <w:rFonts w:ascii="Aptos" w:hAnsi="Aptos"/>
                <w:b/>
                <w:i w:val="0"/>
                <w:color w:val="FFFFFF"/>
                <w:sz w:val="17"/>
              </w:rPr>
              <w:t>Required disposition before release</w:t>
            </w:r>
          </w:p>
        </w:tc>
      </w:tr>
      <w:tr>
        <w:tc>
          <w:tcPr>
            <w:tcW w:type="dxa" w:w="208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Medical accuracy</w:t>
            </w:r>
          </w:p>
        </w:tc>
        <w:tc>
          <w:tcPr>
            <w:tcW w:type="dxa" w:w="691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Independent verification of every material scientific statement, numerical result, and interpretation</w:t>
            </w:r>
          </w:p>
        </w:tc>
      </w:tr>
      <w:tr>
        <w:tc>
          <w:tcPr>
            <w:tcW w:type="dxa" w:w="208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Regulatory</w:t>
            </w:r>
          </w:p>
        </w:tc>
        <w:tc>
          <w:tcPr>
            <w:tcW w:type="dxa" w:w="691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Confirmation of current India indication, posology, contraindications, warnings, interactions, and legal requirements</w:t>
            </w:r>
          </w:p>
        </w:tc>
      </w:tr>
      <w:tr>
        <w:tc>
          <w:tcPr>
            <w:tcW w:type="dxa" w:w="208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Pharmacovigilance</w:t>
            </w:r>
          </w:p>
        </w:tc>
        <w:tc>
          <w:tcPr>
            <w:tcW w:type="dxa" w:w="691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Reconciliation with current safety information, post-marketing findings, and risk-management requirements</w:t>
            </w:r>
          </w:p>
        </w:tc>
      </w:tr>
      <w:tr>
        <w:tc>
          <w:tcPr>
            <w:tcW w:type="dxa" w:w="208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Legal and compliance</w:t>
            </w:r>
          </w:p>
        </w:tc>
        <w:tc>
          <w:tcPr>
            <w:tcW w:type="dxa" w:w="691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Assessment against UCPMP and company policies; approval of intended-use classification</w:t>
            </w:r>
          </w:p>
        </w:tc>
      </w:tr>
      <w:tr>
        <w:tc>
          <w:tcPr>
            <w:tcW w:type="dxa" w:w="208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Visual quality</w:t>
            </w:r>
          </w:p>
        </w:tc>
        <w:tc>
          <w:tcPr>
            <w:tcW w:type="dxa" w:w="691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Page-by-page rendered inspection of tables, references, warnings, and navigation</w:t>
            </w:r>
          </w:p>
        </w:tc>
      </w:tr>
    </w:tbl>
    <w:p>
      <w:pPr>
        <w:spacing w:after="40"/>
      </w:pPr>
    </w:p>
    <w:p>
      <w:r>
        <w:br w:type="page"/>
      </w:r>
    </w:p>
    <w:p>
      <w:pPr>
        <w:pStyle w:val="Heading1"/>
        <w:keepNext/>
      </w:pPr>
      <w:r>
        <w:rPr>
          <w:rFonts w:ascii="Aptos" w:hAnsi="Aptos"/>
          <w:b/>
          <w:i w:val="0"/>
          <w:color w:val="18324A"/>
          <w:sz w:val="32"/>
        </w:rPr>
        <w:t>Executive Scientific Summary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What should an HCP understand about Trelagliptin before deciding whether it is relevant for an individual patient?</w:t>
            </w:r>
          </w:p>
        </w:tc>
      </w:tr>
    </w:tbl>
    <w:p>
      <w:pPr>
        <w:spacing w:after="40"/>
      </w:pPr>
    </w:p>
    <w:p>
      <w:pPr>
        <w:spacing w:after="140" w:line="283" w:lineRule="auto"/>
      </w:pPr>
      <w:r>
        <w:rPr>
          <w:rFonts w:ascii="Aptos" w:hAnsi="Aptos"/>
          <w:b w:val="0"/>
          <w:i w:val="0"/>
          <w:color w:val="24313A"/>
          <w:sz w:val="21"/>
        </w:rPr>
        <w:t>Scientific interpretation: Long-term glycaemic management often requires multiple medicines and sustained daily routines, making treatment burden a relevant clinical consideration.  Trelagliptin introduces a once-weekly oral DPP-4 inhibitor option whose principal distinction is administration frequency.  Reduced frequency is not, by itself, proof of better adherence, persistence, cardiovascular outcomes, or long-term glycaemic durability.</w:t>
      </w:r>
    </w:p>
    <w:p>
      <w:pPr>
        <w:spacing w:after="140" w:line="283" w:lineRule="auto"/>
      </w:pPr>
      <w:r>
        <w:rPr>
          <w:rFonts w:ascii="Aptos" w:hAnsi="Aptos"/>
          <w:b w:val="0"/>
          <w:i w:val="0"/>
          <w:color w:val="24313A"/>
          <w:sz w:val="21"/>
        </w:rPr>
        <w:t>Scientific interpretation: Japanese phase II and phase III studies support glucose-lowering efficacy, including non-inferiority to daily alogliptin in the studied population; an Indian phase III study reported non-inferiority to twice-daily vildagliptin over 16 weeks.  These data establish a clinical evidence base for HbA1c lowering within the studied populations and durations.  The evidence does not establish superiority, cardiorenal benefit, mortality benefit, or equivalence across all patient groups.</w:t>
      </w:r>
    </w:p>
    <w:p>
      <w:pPr>
        <w:spacing w:after="140" w:line="283" w:lineRule="auto"/>
      </w:pPr>
      <w:r>
        <w:rPr>
          <w:rFonts w:ascii="Aptos" w:hAnsi="Aptos"/>
          <w:b w:val="0"/>
          <w:i w:val="0"/>
          <w:color w:val="24313A"/>
          <w:sz w:val="21"/>
        </w:rPr>
        <w:t>Scientific interpretation: Trelagliptin's long pharmacodynamic action and predominant renal elimination make renal-function assessment, dose selection, hypoglycaemia awareness, and medication-error prevention especially important.  The weekly schedule changes how clinicians should think about missed doses, duplicate doses, switching, and persistence of adverse effects.  Exact India dosing and safety wording must come from the current approved package insert.</w:t>
      </w:r>
    </w:p>
    <w:p>
      <w:pPr>
        <w:spacing w:after="140" w:line="283" w:lineRule="auto"/>
      </w:pPr>
      <w:r>
        <w:rPr>
          <w:rFonts w:ascii="Aptos" w:hAnsi="Aptos"/>
          <w:b w:val="0"/>
          <w:i w:val="0"/>
          <w:color w:val="24313A"/>
          <w:sz w:val="21"/>
        </w:rPr>
        <w:t>Scientific interpretation: Within a locally approved role, trelagliptin may be relevant when an oral DPP-4 inhibitor is clinically appropriate and a weekly schedule aligns with the patient's treatment plan.  Patient selection should reflect glycaemic goals, comorbidities, renal function, concomitant therapy, and the need for therapies with proven outcome benefits.  The product should not displace guideline-preferred cardiorenal therapies when those benefits are the dominant treatment objective.</w:t>
      </w:r>
    </w:p>
    <w:p>
      <w:pPr>
        <w:pStyle w:val="Heading2"/>
        <w:keepNext/>
      </w:pPr>
      <w:r>
        <w:rPr>
          <w:rFonts w:ascii="Aptos" w:hAnsi="Aptos"/>
          <w:b/>
          <w:i w:val="0"/>
          <w:color w:val="137C7B"/>
          <w:sz w:val="25"/>
        </w:rPr>
        <w:t>Executive quick reference</w:t>
      </w:r>
    </w:p>
    <w:tbl>
      <w:tblPr>
        <w:tblStyle w:val="TableGrid"/>
        <w:tblW w:type="auto" w:w="0"/>
        <w:jc w:val="center"/>
        <w:tblLayout w:type="fixed"/>
        <w:tblLook w:firstColumn="1" w:firstRow="1" w:lastColumn="0" w:lastRow="0" w:noHBand="0" w:noVBand="1" w:val="04A0"/>
      </w:tblPr>
      <w:tblGrid>
        <w:gridCol w:w="2448"/>
        <w:gridCol w:w="6552"/>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7"/>
              </w:rPr>
              <w:t>Decision dimension</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7"/>
              </w:rPr>
              <w:t>Evidence-based summary</w:t>
            </w:r>
          </w:p>
        </w:tc>
      </w:tr>
      <w:tr>
        <w:tc>
          <w:tcPr>
            <w:tcW w:type="dxa" w:w="24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Molecule and class</w:t>
            </w:r>
          </w:p>
        </w:tc>
        <w:tc>
          <w:tcPr>
            <w:tcW w:type="dxa" w:w="655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Trelagliptin succinate; selective oral DPP-4 inhibitor.</w:t>
            </w:r>
          </w:p>
        </w:tc>
      </w:tr>
      <w:tr>
        <w:tc>
          <w:tcPr>
            <w:tcW w:type="dxa" w:w="24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Core clinical distinction</w:t>
            </w:r>
          </w:p>
        </w:tc>
        <w:tc>
          <w:tcPr>
            <w:tcW w:type="dxa" w:w="655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Sustained DPP-4 inhibition supporting once-weekly administration.</w:t>
            </w:r>
          </w:p>
        </w:tc>
      </w:tr>
      <w:tr>
        <w:tc>
          <w:tcPr>
            <w:tcW w:type="dxa" w:w="24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Verified international role</w:t>
            </w:r>
          </w:p>
        </w:tc>
        <w:tc>
          <w:tcPr>
            <w:tcW w:type="dxa" w:w="655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Approved in Japan for type 2 diabetes mellitus; an India approval listing was identified.</w:t>
            </w:r>
          </w:p>
        </w:tc>
      </w:tr>
      <w:tr>
        <w:tc>
          <w:tcPr>
            <w:tcW w:type="dxa" w:w="24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Evidence base</w:t>
            </w:r>
          </w:p>
        </w:tc>
        <w:tc>
          <w:tcPr>
            <w:tcW w:type="dxa" w:w="655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Dose-ranging, active-controlled, long-term, switching, insulin add-on, renal-impairment, QOL, and Indian comparative studies.</w:t>
            </w:r>
          </w:p>
        </w:tc>
      </w:tr>
      <w:tr>
        <w:tc>
          <w:tcPr>
            <w:tcW w:type="dxa" w:w="24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Primary evidence-supported outcome</w:t>
            </w:r>
          </w:p>
        </w:tc>
        <w:tc>
          <w:tcPr>
            <w:tcW w:type="dxa" w:w="655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7"/>
              </w:rPr>
              <w:t>Reduction in HbA1c and related glycaemic measures.</w:t>
            </w:r>
          </w:p>
        </w:tc>
      </w:tr>
      <w:tr>
        <w:tc>
          <w:tcPr>
            <w:tcW w:type="dxa" w:w="24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Principal practical controls</w:t>
            </w:r>
          </w:p>
        </w:tc>
        <w:tc>
          <w:tcPr>
            <w:tcW w:type="dxa" w:w="655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7"/>
              </w:rPr>
              <w:t>Renal assessment, correct weekly-day administration, missed-dose education, duplicate-dose prevention, and review of concomitant hypoglycaemic therapy.</w:t>
            </w:r>
          </w:p>
        </w:tc>
      </w:tr>
    </w:tbl>
    <w:p>
      <w:pPr>
        <w:spacing w:after="40"/>
      </w:pPr>
    </w:p>
    <w:p>
      <w:pPr>
        <w:pStyle w:val="Heading2"/>
        <w:keepNext/>
      </w:pPr>
      <w:r>
        <w:rPr>
          <w:rFonts w:ascii="Aptos" w:hAnsi="Aptos"/>
          <w:b/>
          <w:i w:val="0"/>
          <w:color w:val="137C7B"/>
          <w:sz w:val="25"/>
        </w:rPr>
        <w:t>What remains uncertain</w:t>
      </w:r>
    </w:p>
    <w:p>
      <w:pPr>
        <w:pStyle w:val="ListBullet"/>
        <w:spacing w:after="80" w:line="269" w:lineRule="auto"/>
      </w:pPr>
      <w:r>
        <w:rPr>
          <w:rFonts w:ascii="Aptos" w:hAnsi="Aptos"/>
          <w:b w:val="0"/>
          <w:i w:val="0"/>
          <w:color w:val="24313A"/>
          <w:sz w:val="19"/>
        </w:rPr>
        <w:t>Current complete India-approved prescribing information was not available for verbatim incorporation.</w:t>
      </w:r>
    </w:p>
    <w:p>
      <w:pPr>
        <w:pStyle w:val="ListBullet"/>
        <w:spacing w:after="80" w:line="269" w:lineRule="auto"/>
      </w:pPr>
      <w:r>
        <w:rPr>
          <w:rFonts w:ascii="Aptos" w:hAnsi="Aptos"/>
          <w:b w:val="0"/>
          <w:i w:val="0"/>
          <w:color w:val="24313A"/>
          <w:sz w:val="19"/>
        </w:rPr>
        <w:t>No dedicated cardiovascular-outcomes trial was identified.</w:t>
      </w:r>
    </w:p>
    <w:p>
      <w:pPr>
        <w:pStyle w:val="ListBullet"/>
        <w:spacing w:after="80" w:line="269" w:lineRule="auto"/>
      </w:pPr>
      <w:r>
        <w:rPr>
          <w:rFonts w:ascii="Aptos" w:hAnsi="Aptos"/>
          <w:b w:val="0"/>
          <w:i w:val="0"/>
          <w:color w:val="24313A"/>
          <w:sz w:val="19"/>
        </w:rPr>
        <w:t>Evidence for renal, cardiovascular, mortality, or microvascular outcome improvement is not established.</w:t>
      </w:r>
    </w:p>
    <w:p>
      <w:pPr>
        <w:pStyle w:val="ListBullet"/>
        <w:spacing w:after="80" w:line="269" w:lineRule="auto"/>
      </w:pPr>
      <w:r>
        <w:rPr>
          <w:rFonts w:ascii="Aptos" w:hAnsi="Aptos"/>
          <w:b w:val="0"/>
          <w:i w:val="0"/>
          <w:color w:val="24313A"/>
          <w:sz w:val="19"/>
        </w:rPr>
        <w:t>Much of the pivotal evidence was generated in Japanese patients; generalizability requires clinical judgment.</w:t>
      </w:r>
    </w:p>
    <w:p>
      <w:pPr>
        <w:pStyle w:val="ListBullet"/>
        <w:spacing w:after="80" w:line="269" w:lineRule="auto"/>
      </w:pPr>
      <w:r>
        <w:rPr>
          <w:rFonts w:ascii="Aptos" w:hAnsi="Aptos"/>
          <w:b w:val="0"/>
          <w:i w:val="0"/>
          <w:color w:val="24313A"/>
          <w:sz w:val="19"/>
        </w:rPr>
        <w:t>Long-term controlled evidence and broad real-world India evidence remain limited.</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Executive conclusion</w:t>
            </w:r>
          </w:p>
          <w:p>
            <w:pPr>
              <w:spacing w:after="0" w:line="276" w:lineRule="auto"/>
            </w:pPr>
            <w:r>
              <w:rPr>
                <w:rFonts w:ascii="Aptos" w:hAnsi="Aptos"/>
                <w:b w:val="0"/>
                <w:i w:val="0"/>
                <w:color w:val="24313A"/>
                <w:sz w:val="19"/>
              </w:rPr>
              <w:t>Trelagliptin should be considered only within its locally approved role, after matching the patient, treatment objective, safety requirements, and evidence limitations. Convenience or mechanistic plausibility must never replace outcome evidence or the current approved label.</w:t>
            </w:r>
          </w:p>
        </w:tc>
      </w:tr>
    </w:tbl>
    <w:p>
      <w:pPr>
        <w:spacing w:after="40"/>
      </w:pPr>
    </w:p>
    <w:p>
      <w:r>
        <w:br w:type="page"/>
      </w:r>
    </w:p>
    <w:p>
      <w:pPr>
        <w:pStyle w:val="Heading1"/>
        <w:keepNext/>
      </w:pPr>
      <w:r>
        <w:rPr>
          <w:rFonts w:ascii="Aptos" w:hAnsi="Aptos"/>
          <w:b/>
          <w:i w:val="0"/>
          <w:color w:val="18324A"/>
          <w:sz w:val="32"/>
        </w:rPr>
        <w:t>1. Type 2 Diabetes: The Clinical Problem Beyond HbA1c</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Understanding the disease context prevents a glucose-lowering medicine from being considered in isolation.</w:t>
            </w:r>
          </w:p>
        </w:tc>
      </w:tr>
    </w:tbl>
    <w:p>
      <w:pPr>
        <w:spacing w:after="40"/>
      </w:pPr>
    </w:p>
    <w:p>
      <w:pPr>
        <w:spacing w:after="140" w:line="283" w:lineRule="auto"/>
      </w:pPr>
      <w:r>
        <w:rPr>
          <w:rFonts w:ascii="Aptos" w:hAnsi="Aptos"/>
          <w:b w:val="0"/>
          <w:i w:val="0"/>
          <w:color w:val="24313A"/>
          <w:sz w:val="21"/>
        </w:rPr>
        <w:t>Scientific interpretation: The disease is a progressive metabolic disorder involving insulin resistance, beta-cell dysfunction, dysregulated glucagon secretion, and multi-organ complications.  Treatment decisions must therefore balance glycaemic control with cardiovascular, renal, weight, hypoglycaemia, and patient-burden priorities.  A product monograph should make clear which of these outcomes are directly supported and which are not.</w:t>
      </w:r>
    </w:p>
    <w:p>
      <w:pPr>
        <w:spacing w:after="140" w:line="283" w:lineRule="auto"/>
      </w:pPr>
      <w:r>
        <w:rPr>
          <w:rFonts w:ascii="Aptos" w:hAnsi="Aptos"/>
          <w:b w:val="0"/>
          <w:i w:val="0"/>
          <w:color w:val="24313A"/>
          <w:sz w:val="21"/>
        </w:rPr>
        <w:t>Scientific interpretation: Contemporary care considers atherosclerotic cardiovascular disease, heart failure, chronic kidney disease, obesity, frailty, hypoglycaemia risk, cost, preferences, and regimen complexity.  A DPP-4 inhibitor may be suitable in selected clinical circumstances because of oral administration and glucose-dependent pharmacology.  Class suitability does not imply that every molecule has identical evidence or that DPP-4 inhibition addresses every treatment priority.</w:t>
      </w:r>
    </w:p>
    <w:p>
      <w:pPr>
        <w:spacing w:after="140" w:line="283" w:lineRule="auto"/>
      </w:pPr>
      <w:r>
        <w:rPr>
          <w:rFonts w:ascii="Aptos" w:hAnsi="Aptos"/>
          <w:b w:val="0"/>
          <w:i w:val="0"/>
          <w:color w:val="24313A"/>
          <w:sz w:val="21"/>
        </w:rPr>
        <w:t>Scientific interpretation: Polypharmacy and repeated daily dosing can create practical friction for patients managing a chronic asymptomatic condition.  A weekly oral schedule may be a meaningful operational feature for some patients and care teams.  Its value must be assessed patient by patient and must not be converted into an unproven adherence or outcome claim.</w:t>
      </w:r>
    </w:p>
    <w:p>
      <w:r>
        <w:br w:type="page"/>
      </w:r>
    </w:p>
    <w:p>
      <w:pPr>
        <w:pStyle w:val="Heading1"/>
        <w:keepNext/>
      </w:pPr>
      <w:r>
        <w:rPr>
          <w:rFonts w:ascii="Aptos" w:hAnsi="Aptos"/>
          <w:b/>
          <w:i w:val="0"/>
          <w:color w:val="18324A"/>
          <w:sz w:val="32"/>
        </w:rPr>
        <w:t>2. The Incretin System and the DPP-4 Therapeutic Class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Class context helps an HCP understand what trelagliptin can reasonably be expected to do.</w:t>
            </w:r>
          </w:p>
        </w:tc>
      </w:tr>
    </w:tbl>
    <w:p>
      <w:pPr>
        <w:spacing w:after="40"/>
      </w:pPr>
    </w:p>
    <w:p>
      <w:pPr>
        <w:spacing w:after="140" w:line="283" w:lineRule="auto"/>
      </w:pPr>
      <w:r>
        <w:rPr>
          <w:rFonts w:ascii="Aptos" w:hAnsi="Aptos"/>
          <w:b w:val="0"/>
          <w:i w:val="0"/>
          <w:color w:val="24313A"/>
          <w:sz w:val="21"/>
        </w:rPr>
        <w:t>Scientific interpretation: DPP-4 rapidly degrades endogenous incretin hormones including GLP-1 and GIP, which participate in glucose-dependent insulin secretion and glucagon regulation.  Inhibition prolongs endogenous incretin activity and supports glycaemic control with a generally low intrinsic hypoglycaemia propensity when used without insulin or secretagogues.  This mechanism does not create proven cardiovascular, renal, or weight-loss benefits for trelagliptin.</w:t>
      </w:r>
    </w:p>
    <w:p>
      <w:pPr>
        <w:spacing w:after="140" w:line="283" w:lineRule="auto"/>
      </w:pPr>
      <w:r>
        <w:rPr>
          <w:rFonts w:ascii="Aptos" w:hAnsi="Aptos"/>
          <w:b w:val="0"/>
          <w:i w:val="0"/>
          <w:color w:val="24313A"/>
          <w:sz w:val="21"/>
        </w:rPr>
        <w:t>Scientific interpretation: DPP-4 inhibitors enhance endogenous incretin activity, whereas GLP-1 receptor agonists directly stimulate the receptor pharmacologically and often produce larger HbA1c and weight effects.  The distinction matters when matching treatment intensity and outcome priorities.  Cross-class comparisons must rely on comparable evidence and should not imply that convenience compensates for differences in demonstrated outcomes.</w:t>
      </w:r>
    </w:p>
    <w:p>
      <w:pPr>
        <w:spacing w:after="140" w:line="283" w:lineRule="auto"/>
      </w:pPr>
      <w:r>
        <w:rPr>
          <w:rFonts w:ascii="Aptos" w:hAnsi="Aptos"/>
          <w:b w:val="0"/>
          <w:i w:val="0"/>
          <w:color w:val="24313A"/>
          <w:sz w:val="21"/>
        </w:rPr>
        <w:t>Scientific interpretation: DPP-4 inhibitors differ in dosing frequency, elimination pathways, dose-adjustment requirements, and the extent of molecule-specific outcome evidence.  Trelagliptin's weekly profile and renal handling make its practical controls distinct.  Class assumptions cannot replace molecule-specific label and safety review.</w:t>
      </w:r>
    </w:p>
    <w:p>
      <w:r>
        <w:br w:type="page"/>
      </w:r>
    </w:p>
    <w:p>
      <w:pPr>
        <w:pStyle w:val="Heading1"/>
        <w:keepNext/>
      </w:pPr>
      <w:r>
        <w:rPr>
          <w:rFonts w:ascii="Aptos" w:hAnsi="Aptos"/>
          <w:b/>
          <w:i w:val="0"/>
          <w:color w:val="18324A"/>
          <w:sz w:val="32"/>
        </w:rPr>
        <w:t>3. Discovery, Development, and Regulatory History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development pathway explains why once-weekly dosing became the molecule's defining scientific question.</w:t>
            </w:r>
          </w:p>
        </w:tc>
      </w:tr>
    </w:tbl>
    <w:p>
      <w:pPr>
        <w:spacing w:after="40"/>
      </w:pPr>
    </w:p>
    <w:p>
      <w:pPr>
        <w:spacing w:after="140" w:line="283" w:lineRule="auto"/>
      </w:pPr>
      <w:r>
        <w:rPr>
          <w:rFonts w:ascii="Aptos" w:hAnsi="Aptos"/>
          <w:b w:val="0"/>
          <w:i w:val="0"/>
          <w:color w:val="24313A"/>
          <w:sz w:val="21"/>
        </w:rPr>
        <w:t>Scientific interpretation: Trelagliptin, also known during development as SYR-472, was optimized as a potent and selective long-acting DPP-4 inhibitor.  Its development programme evaluated whether sustained inhibition could permit weekly oral dosing while maintaining glycaemic efficacy.  A longer interval increases the importance of correct dose selection and error prevention.</w:t>
      </w:r>
    </w:p>
    <w:p>
      <w:pPr>
        <w:spacing w:after="140" w:line="283" w:lineRule="auto"/>
      </w:pPr>
      <w:r>
        <w:rPr>
          <w:rFonts w:ascii="Aptos" w:hAnsi="Aptos"/>
          <w:b w:val="0"/>
          <w:i w:val="0"/>
          <w:color w:val="24313A"/>
          <w:sz w:val="21"/>
        </w:rPr>
        <w:t>Scientific interpretation: PMDA materials document Japanese approval in 2015, with subsequent regulatory work supporting a 25-mg strength for severe renal impairment and ESRD.  This provides detailed scientific and regulatory context.  Japanese approved conditions must remain visibly separate from India-approved conditions.</w:t>
      </w:r>
    </w:p>
    <w:p>
      <w:pPr>
        <w:spacing w:after="140" w:line="283" w:lineRule="auto"/>
      </w:pPr>
      <w:r>
        <w:rPr>
          <w:rFonts w:ascii="Aptos" w:hAnsi="Aptos"/>
          <w:b w:val="0"/>
          <w:i w:val="0"/>
          <w:color w:val="24313A"/>
          <w:sz w:val="21"/>
        </w:rPr>
        <w:t>Scientific interpretation: An Indian phase III study and CDSCO approval-list context were identified during the evidence search.  This supports India relevance and mandates careful integration of local data.  The current regulator-approved India package insert remains the controlling document for all prescribing claims and must still be obtained.</w:t>
      </w:r>
    </w:p>
    <w:p>
      <w:r>
        <w:br w:type="page"/>
      </w:r>
    </w:p>
    <w:p>
      <w:pPr>
        <w:pStyle w:val="Heading1"/>
        <w:keepNext/>
      </w:pPr>
      <w:r>
        <w:rPr>
          <w:rFonts w:ascii="Aptos" w:hAnsi="Aptos"/>
          <w:b/>
          <w:i w:val="0"/>
          <w:color w:val="18324A"/>
          <w:sz w:val="32"/>
        </w:rPr>
        <w:t>4. Molecular Identity and Pharmaceutical Profile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Molecule-level facts anchor the monograph before clinical interpretation begins.</w:t>
            </w:r>
          </w:p>
        </w:tc>
      </w:tr>
    </w:tbl>
    <w:p>
      <w:pPr>
        <w:spacing w:after="40"/>
      </w:pPr>
    </w:p>
    <w:p>
      <w:pPr>
        <w:spacing w:after="140" w:line="283" w:lineRule="auto"/>
      </w:pPr>
      <w:r>
        <w:rPr>
          <w:rFonts w:ascii="Aptos" w:hAnsi="Aptos"/>
          <w:b w:val="0"/>
          <w:i w:val="0"/>
          <w:color w:val="24313A"/>
          <w:sz w:val="21"/>
        </w:rPr>
        <w:t>Scientific interpretation: Regulatory materials identify trelagliptin succinate, providing the active moiety trelagliptin.  Salt-to-active-equivalence and product strength presentation are essential for accurate prescribing information.  Final strengths, excipients, pack sizes, storage, and sponsor-specific product particulars require the current India product file.</w:t>
      </w:r>
    </w:p>
    <w:p>
      <w:pPr>
        <w:spacing w:after="140" w:line="283" w:lineRule="auto"/>
      </w:pPr>
      <w:r>
        <w:rPr>
          <w:rFonts w:ascii="Aptos" w:hAnsi="Aptos"/>
          <w:b w:val="0"/>
          <w:i w:val="0"/>
          <w:color w:val="24313A"/>
          <w:sz w:val="21"/>
        </w:rPr>
        <w:t>Scientific interpretation: The molecule demonstrates potent, highly selective DPP-4 inhibition with slow dissociation and sustained pharmacodynamic activity.  This supports the scientific rationale for a weekly schedule.  Mechanistic distinctiveness should not be expressed as clinical superiority unless supported by comparative outcomes.</w:t>
      </w:r>
    </w:p>
    <w:p>
      <w:pPr>
        <w:spacing w:after="140" w:line="283" w:lineRule="auto"/>
      </w:pPr>
      <w:r>
        <w:rPr>
          <w:rFonts w:ascii="Aptos" w:hAnsi="Aptos"/>
          <w:b w:val="0"/>
          <w:i w:val="0"/>
          <w:color w:val="24313A"/>
          <w:sz w:val="21"/>
        </w:rPr>
        <w:t>Scientific interpretation: A weekly medicine can create consequences if the wrong strength is selected or if doses are repeated too closely.  Clear product identity, tablet differentiation, and dispensing instructions become patient-safety controls.  These controls cannot be finalized without sponsor product particulars and approved packaging information.</w:t>
      </w:r>
    </w:p>
    <w:p>
      <w:r>
        <w:br w:type="page"/>
      </w:r>
    </w:p>
    <w:p>
      <w:pPr>
        <w:pStyle w:val="Heading1"/>
        <w:keepNext/>
      </w:pPr>
      <w:r>
        <w:rPr>
          <w:rFonts w:ascii="Aptos" w:hAnsi="Aptos"/>
          <w:b/>
          <w:i w:val="0"/>
          <w:color w:val="18324A"/>
          <w:sz w:val="32"/>
        </w:rPr>
        <w:t>5. Mechanism of Action: From DPP-4 Binding to Glycaemic Effect</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mechanism chapter connects molecular action to realistic clinical expectations.</w:t>
            </w:r>
          </w:p>
        </w:tc>
      </w:tr>
    </w:tbl>
    <w:p>
      <w:pPr>
        <w:spacing w:after="40"/>
      </w:pPr>
    </w:p>
    <w:p>
      <w:pPr>
        <w:spacing w:after="140" w:line="283" w:lineRule="auto"/>
      </w:pPr>
      <w:r>
        <w:rPr>
          <w:rFonts w:ascii="Aptos" w:hAnsi="Aptos"/>
          <w:b w:val="0"/>
          <w:i w:val="0"/>
          <w:color w:val="24313A"/>
          <w:sz w:val="21"/>
        </w:rPr>
        <w:t>Scientific interpretation: Trelagliptin binds DPP-4 non-covalently and demonstrates prolonged enzyme inhibition across the dosing interval; PMDA review data describe substantial inhibition seven days after a 100-mg dose.  The pharmacodynamic duration supports once-weekly administration.  The weekly schedule should be understood as sustained target inhibition, not as permission to improvise dosing.</w:t>
      </w:r>
    </w:p>
    <w:p>
      <w:pPr>
        <w:spacing w:after="140" w:line="283" w:lineRule="auto"/>
      </w:pPr>
      <w:r>
        <w:rPr>
          <w:rFonts w:ascii="Aptos" w:hAnsi="Aptos"/>
          <w:b w:val="0"/>
          <w:i w:val="0"/>
          <w:color w:val="24313A"/>
          <w:sz w:val="21"/>
        </w:rPr>
        <w:t>Scientific interpretation: Reduced incretin degradation supports glucose-dependent insulin secretion and restrains inappropriate glucagon secretion.  The glucose-dependent mechanism helps explain the class's generally low intrinsic hypoglycaemia tendency.  Hypoglycaemia can still occur, particularly when combined with insulin or insulin secretagogues.</w:t>
      </w:r>
    </w:p>
    <w:p>
      <w:pPr>
        <w:spacing w:after="140" w:line="283" w:lineRule="auto"/>
      </w:pPr>
      <w:r>
        <w:rPr>
          <w:rFonts w:ascii="Aptos" w:hAnsi="Aptos"/>
          <w:b w:val="0"/>
          <w:i w:val="0"/>
          <w:color w:val="24313A"/>
          <w:sz w:val="21"/>
        </w:rPr>
        <w:t>Scientific interpretation: Experimental and biomarker studies may explore endothelial, inflammatory, or neurological effects.  Such work can generate hypotheses about pleiotropic biology.  It must not be used to claim prevention of cardiovascular, renal, cognitive, or microvascular outcomes without direct clinical evidence.</w:t>
      </w:r>
    </w:p>
    <w:p>
      <w:r>
        <w:br w:type="page"/>
      </w:r>
    </w:p>
    <w:p>
      <w:pPr>
        <w:pStyle w:val="Heading1"/>
        <w:keepNext/>
      </w:pPr>
      <w:r>
        <w:rPr>
          <w:rFonts w:ascii="Aptos" w:hAnsi="Aptos"/>
          <w:b/>
          <w:i w:val="0"/>
          <w:color w:val="18324A"/>
          <w:sz w:val="32"/>
        </w:rPr>
        <w:t>6. Pharmacodynamics Across the Weekly Interval</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Weekly administration is credible only if pharmacodynamic activity persists predictably.</w:t>
            </w:r>
          </w:p>
        </w:tc>
      </w:tr>
    </w:tbl>
    <w:p>
      <w:pPr>
        <w:spacing w:after="40"/>
      </w:pPr>
    </w:p>
    <w:p>
      <w:pPr>
        <w:spacing w:after="140" w:line="283" w:lineRule="auto"/>
      </w:pPr>
      <w:r>
        <w:rPr>
          <w:rFonts w:ascii="Aptos" w:hAnsi="Aptos"/>
          <w:b w:val="0"/>
          <w:i w:val="0"/>
          <w:color w:val="24313A"/>
          <w:sz w:val="21"/>
        </w:rPr>
        <w:t>Scientific interpretation: Regulatory review describes sustained DPP-4 inhibition throughout the seven-day interval after therapeutic dosing.  This bridges the gap between plasma exposure and weekly clinical use.  The degree of inhibition is a surrogate pharmacodynamic measure and is not itself a patient-important outcome.</w:t>
      </w:r>
    </w:p>
    <w:p>
      <w:pPr>
        <w:spacing w:after="140" w:line="283" w:lineRule="auto"/>
      </w:pPr>
      <w:r>
        <w:rPr>
          <w:rFonts w:ascii="Aptos" w:hAnsi="Aptos"/>
          <w:b w:val="0"/>
          <w:i w:val="0"/>
          <w:color w:val="24313A"/>
          <w:sz w:val="21"/>
        </w:rPr>
        <w:t>Scientific interpretation: Because biological activity persists beyond the administration day, a missed or duplicate dose has different implications from a short-acting daily medicine.  HCPs need precise, label-aligned instructions and patient counselling.  No locally applicable missed-dose instruction should be reconstructed from memory or another jurisdiction.</w:t>
      </w:r>
    </w:p>
    <w:p>
      <w:pPr>
        <w:spacing w:after="140" w:line="283" w:lineRule="auto"/>
      </w:pPr>
      <w:r>
        <w:rPr>
          <w:rFonts w:ascii="Aptos" w:hAnsi="Aptos"/>
          <w:b w:val="0"/>
          <w:i w:val="0"/>
          <w:color w:val="24313A"/>
          <w:sz w:val="21"/>
        </w:rPr>
        <w:t>Scientific interpretation: Long-acting target inhibition means the medicine's pharmacological influence may not disappear immediately after discontinuation.  Clinical assessment should consider the previous weekly dose and timing.  Urgent adverse-event management must follow the approved label and clinical judgment.</w:t>
      </w:r>
    </w:p>
    <w:p>
      <w:r>
        <w:br w:type="page"/>
      </w:r>
    </w:p>
    <w:p>
      <w:pPr>
        <w:pStyle w:val="Heading1"/>
        <w:keepNext/>
      </w:pPr>
      <w:r>
        <w:rPr>
          <w:rFonts w:ascii="Aptos" w:hAnsi="Aptos"/>
          <w:b/>
          <w:i w:val="0"/>
          <w:color w:val="18324A"/>
          <w:sz w:val="32"/>
        </w:rPr>
        <w:t>7. Pharmacokinetics: Absorption, Distribution, Metabolism, and Excretion</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PK becomes clinically useful when numbers are translated into prescribing consequences.</w:t>
            </w:r>
          </w:p>
        </w:tc>
      </w:tr>
    </w:tbl>
    <w:p>
      <w:pPr>
        <w:spacing w:after="40"/>
      </w:pPr>
    </w:p>
    <w:p>
      <w:pPr>
        <w:spacing w:after="140" w:line="283" w:lineRule="auto"/>
      </w:pPr>
      <w:r>
        <w:rPr>
          <w:rFonts w:ascii="Aptos" w:hAnsi="Aptos"/>
          <w:b w:val="0"/>
          <w:i w:val="0"/>
          <w:color w:val="24313A"/>
          <w:sz w:val="21"/>
        </w:rPr>
        <w:t>Scientific interpretation: Human studies and regulatory review describe a median time to maximum concentration of approximately one to two hours, with food producing no material change in overall exposure.  This supports practical administration without a strong food-dependent exposure concern in the verified Japan context.  Exact India administration wording still requires the local package insert.</w:t>
      </w:r>
    </w:p>
    <w:p>
      <w:pPr>
        <w:spacing w:after="140" w:line="283" w:lineRule="auto"/>
      </w:pPr>
      <w:r>
        <w:rPr>
          <w:rFonts w:ascii="Aptos" w:hAnsi="Aptos"/>
          <w:b w:val="0"/>
          <w:i w:val="0"/>
          <w:color w:val="24313A"/>
          <w:sz w:val="21"/>
        </w:rPr>
        <w:t>Scientific interpretation: Protein binding is relatively low and metabolism is limited, with unchanged trelagliptin predominating; a minor active metabolite contributes little to overall exposure.  The profile reduces reliance on extensive hepatic metabolism.  It does not eliminate the need to review interactions or severe hepatic impairment.</w:t>
      </w:r>
    </w:p>
    <w:p>
      <w:pPr>
        <w:spacing w:after="140" w:line="283" w:lineRule="auto"/>
      </w:pPr>
      <w:r>
        <w:rPr>
          <w:rFonts w:ascii="Aptos" w:hAnsi="Aptos"/>
          <w:b w:val="0"/>
          <w:i w:val="0"/>
          <w:color w:val="24313A"/>
          <w:sz w:val="21"/>
        </w:rPr>
        <w:t>Scientific interpretation: A large proportion of administered drug is excreted unchanged in urine, and exposure rises as renal function declines.  Renal assessment is therefore directly relevant to dose selection and safety.  The precise India adjustment algorithm must be verified from the approved India label.</w:t>
      </w:r>
    </w:p>
    <w:tbl>
      <w:tblPr>
        <w:tblStyle w:val="TableGrid"/>
        <w:tblW w:type="auto" w:w="0"/>
        <w:jc w:val="center"/>
        <w:tblLayout w:type="fixed"/>
        <w:tblLook w:firstColumn="1" w:firstRow="1" w:lastColumn="0" w:lastRow="0" w:noHBand="0" w:noVBand="1" w:val="04A0"/>
      </w:tblPr>
      <w:tblGrid>
        <w:gridCol w:w="1800"/>
        <w:gridCol w:w="3744"/>
        <w:gridCol w:w="3456"/>
      </w:tblGrid>
      <w:tr>
        <w:trPr>
          <w:tblHeader w:val="true"/>
        </w:trPr>
        <w:tc>
          <w:tcPr>
            <w:tcW w:type="dxa" w:w="3216"/>
            <w:shd w:fill="18324A"/>
            <w:tcMar>
              <w:top w:w="100" w:type="dxa"/>
              <w:start w:w="120" w:type="dxa"/>
              <w:bottom w:w="100" w:type="dxa"/>
              <w:end w:w="120" w:type="dxa"/>
            </w:tcMar>
            <w:vAlign w:val="center"/>
          </w:tcPr>
          <w:p>
            <w:pPr>
              <w:jc w:val="center"/>
            </w:pPr>
            <w:r/>
            <w:r>
              <w:rPr>
                <w:rFonts w:ascii="Aptos" w:hAnsi="Aptos"/>
                <w:b/>
                <w:i w:val="0"/>
                <w:color w:val="FFFFFF"/>
                <w:sz w:val="16"/>
              </w:rPr>
              <w:t>PK dimension</w:t>
            </w:r>
          </w:p>
        </w:tc>
        <w:tc>
          <w:tcPr>
            <w:tcW w:type="dxa" w:w="3216"/>
            <w:shd w:fill="18324A"/>
            <w:tcMar>
              <w:top w:w="100" w:type="dxa"/>
              <w:start w:w="120" w:type="dxa"/>
              <w:bottom w:w="100" w:type="dxa"/>
              <w:end w:w="120" w:type="dxa"/>
            </w:tcMar>
            <w:vAlign w:val="center"/>
          </w:tcPr>
          <w:p>
            <w:pPr>
              <w:jc w:val="center"/>
            </w:pPr>
            <w:r/>
            <w:r>
              <w:rPr>
                <w:rFonts w:ascii="Aptos" w:hAnsi="Aptos"/>
                <w:b/>
                <w:i w:val="0"/>
                <w:color w:val="FFFFFF"/>
                <w:sz w:val="16"/>
              </w:rPr>
              <w:t>Evidence-based finding</w:t>
            </w:r>
          </w:p>
        </w:tc>
        <w:tc>
          <w:tcPr>
            <w:tcW w:type="dxa" w:w="3216"/>
            <w:shd w:fill="18324A"/>
            <w:tcMar>
              <w:top w:w="100" w:type="dxa"/>
              <w:start w:w="120" w:type="dxa"/>
              <w:bottom w:w="100" w:type="dxa"/>
              <w:end w:w="120" w:type="dxa"/>
            </w:tcMar>
            <w:vAlign w:val="center"/>
          </w:tcPr>
          <w:p>
            <w:pPr>
              <w:jc w:val="center"/>
            </w:pPr>
            <w:r/>
            <w:r>
              <w:rPr>
                <w:rFonts w:ascii="Aptos" w:hAnsi="Aptos"/>
                <w:b/>
                <w:i w:val="0"/>
                <w:color w:val="FFFFFF"/>
                <w:sz w:val="16"/>
              </w:rPr>
              <w:t>Clinical consequence</w:t>
            </w:r>
          </w:p>
        </w:tc>
      </w:tr>
      <w:tr>
        <w:tc>
          <w:tcPr>
            <w:tcW w:type="dxa" w:w="180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Absorption</w:t>
            </w:r>
          </w:p>
        </w:tc>
        <w:tc>
          <w:tcPr>
            <w:tcW w:type="dxa" w:w="37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Tmax approximately 1-2 hours; total exposure minimally affected by food in studied conditions</w:t>
            </w:r>
          </w:p>
        </w:tc>
        <w:tc>
          <w:tcPr>
            <w:tcW w:type="dxa" w:w="34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Administration practicalities should follow local label</w:t>
            </w:r>
          </w:p>
        </w:tc>
      </w:tr>
      <w:tr>
        <w:tc>
          <w:tcPr>
            <w:tcW w:type="dxa" w:w="180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Distribution</w:t>
            </w:r>
          </w:p>
        </w:tc>
        <w:tc>
          <w:tcPr>
            <w:tcW w:type="dxa" w:w="374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Relatively low protein binding</w:t>
            </w:r>
          </w:p>
        </w:tc>
        <w:tc>
          <w:tcPr>
            <w:tcW w:type="dxa" w:w="34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Low binding does not remove interaction review</w:t>
            </w:r>
          </w:p>
        </w:tc>
      </w:tr>
      <w:tr>
        <w:tc>
          <w:tcPr>
            <w:tcW w:type="dxa" w:w="180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Metabolism</w:t>
            </w:r>
          </w:p>
        </w:tc>
        <w:tc>
          <w:tcPr>
            <w:tcW w:type="dxa" w:w="37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Limited; unchanged drug predominates</w:t>
            </w:r>
          </w:p>
        </w:tc>
        <w:tc>
          <w:tcPr>
            <w:tcW w:type="dxa" w:w="34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Hepatic metabolism is not the primary elimination route</w:t>
            </w:r>
          </w:p>
        </w:tc>
      </w:tr>
      <w:tr>
        <w:tc>
          <w:tcPr>
            <w:tcW w:type="dxa" w:w="180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Excretion</w:t>
            </w:r>
          </w:p>
        </w:tc>
        <w:tc>
          <w:tcPr>
            <w:tcW w:type="dxa" w:w="374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Predominantly renal; substantial unchanged urinary excretion</w:t>
            </w:r>
          </w:p>
        </w:tc>
        <w:tc>
          <w:tcPr>
            <w:tcW w:type="dxa" w:w="34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Assess renal function and apply label dose rules</w:t>
            </w:r>
          </w:p>
        </w:tc>
      </w:tr>
      <w:tr>
        <w:tc>
          <w:tcPr>
            <w:tcW w:type="dxa" w:w="180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Duration</w:t>
            </w:r>
          </w:p>
        </w:tc>
        <w:tc>
          <w:tcPr>
            <w:tcW w:type="dxa" w:w="37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Terminal half-life and sustained target inhibition support weekly interval</w:t>
            </w:r>
          </w:p>
        </w:tc>
        <w:tc>
          <w:tcPr>
            <w:tcW w:type="dxa" w:w="34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Prevent duplicate dosing and manage missed doses precisely</w:t>
            </w:r>
          </w:p>
        </w:tc>
      </w:tr>
    </w:tbl>
    <w:p>
      <w:pPr>
        <w:spacing w:after="40"/>
      </w:pPr>
    </w:p>
    <w:p>
      <w:r>
        <w:br w:type="page"/>
      </w:r>
    </w:p>
    <w:p>
      <w:pPr>
        <w:pStyle w:val="Heading1"/>
        <w:keepNext/>
      </w:pPr>
      <w:r>
        <w:rPr>
          <w:rFonts w:ascii="Aptos" w:hAnsi="Aptos"/>
          <w:b/>
          <w:i w:val="0"/>
          <w:color w:val="18324A"/>
          <w:sz w:val="32"/>
        </w:rPr>
        <w:t>8. Renal Impairment and Dose-Selection Logic</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Renal dosing is not a footnote for trelagliptin; it is a core safety chapter.</w:t>
            </w:r>
          </w:p>
        </w:tc>
      </w:tr>
    </w:tbl>
    <w:p>
      <w:pPr>
        <w:spacing w:after="40"/>
      </w:pPr>
    </w:p>
    <w:p>
      <w:pPr>
        <w:spacing w:after="140" w:line="283" w:lineRule="auto"/>
      </w:pPr>
      <w:r>
        <w:rPr>
          <w:rFonts w:ascii="Aptos" w:hAnsi="Aptos"/>
          <w:b w:val="0"/>
          <w:i w:val="0"/>
          <w:color w:val="24313A"/>
          <w:sz w:val="21"/>
        </w:rPr>
        <w:t>Scientific interpretation: Regulatory analyses report progressively increased trelagliptin exposure across mild, moderate, severe renal impairment, and ESRD.  This exposure-response relationship explains the need for lower strengths in more advanced impairment.  The HCP must use the current locally approved thresholds rather than a generalized DPP-4 class rule.</w:t>
      </w:r>
    </w:p>
    <w:p>
      <w:pPr>
        <w:spacing w:after="140" w:line="283" w:lineRule="auto"/>
      </w:pPr>
      <w:r>
        <w:rPr>
          <w:rFonts w:ascii="Aptos" w:hAnsi="Aptos"/>
          <w:b w:val="0"/>
          <w:i w:val="0"/>
          <w:color w:val="24313A"/>
          <w:sz w:val="21"/>
        </w:rPr>
        <w:t>Scientific interpretation: PMDA review data indicate only limited removal during hemodialysis.  This reinforces the importance of selecting the correct dose before administration.  Dialysis should not be assumed to reverse an administration error.</w:t>
      </w:r>
    </w:p>
    <w:p>
      <w:pPr>
        <w:spacing w:after="140" w:line="283" w:lineRule="auto"/>
      </w:pPr>
      <w:r>
        <w:rPr>
          <w:rFonts w:ascii="Aptos" w:hAnsi="Aptos"/>
          <w:b w:val="0"/>
          <w:i w:val="0"/>
          <w:color w:val="24313A"/>
          <w:sz w:val="21"/>
        </w:rPr>
        <w:t>Scientific interpretation: A randomized phase III study evaluated 25 mg once weekly in Japanese patients with severe impairment or ESRD and demonstrated HbA1c lowering versus placebo.  The study supports the scientific rationale for a reduced dose in that jurisdiction.  It does not independently establish India-approved renal dosing.</w:t>
      </w:r>
    </w:p>
    <w:p>
      <w:r>
        <w:br w:type="page"/>
      </w:r>
    </w:p>
    <w:p>
      <w:pPr>
        <w:pStyle w:val="Heading1"/>
        <w:keepNext/>
      </w:pPr>
      <w:r>
        <w:rPr>
          <w:rFonts w:ascii="Aptos" w:hAnsi="Aptos"/>
          <w:b/>
          <w:i w:val="0"/>
          <w:color w:val="18324A"/>
          <w:sz w:val="32"/>
        </w:rPr>
        <w:t>9. Hepatic Impairment, Age, and Other Intrinsic Factors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Special-population evidence clarifies when routine use becomes uncertain.</w:t>
            </w:r>
          </w:p>
        </w:tc>
      </w:tr>
    </w:tbl>
    <w:p>
      <w:pPr>
        <w:spacing w:after="40"/>
      </w:pPr>
    </w:p>
    <w:p>
      <w:pPr>
        <w:spacing w:after="140" w:line="283" w:lineRule="auto"/>
      </w:pPr>
      <w:r>
        <w:rPr>
          <w:rFonts w:ascii="Aptos" w:hAnsi="Aptos"/>
          <w:b w:val="0"/>
          <w:i w:val="0"/>
          <w:color w:val="24313A"/>
          <w:sz w:val="21"/>
        </w:rPr>
        <w:t>Scientific interpretation: Moderate hepatic impairment did not produce a clinically meaningful exposure change in the available regulatory evidence.  Limited hepatic metabolism may explain this observation.  Severe hepatic impairment remains insufficiently studied and requires label-aligned caution.</w:t>
      </w:r>
    </w:p>
    <w:p>
      <w:pPr>
        <w:spacing w:after="140" w:line="283" w:lineRule="auto"/>
      </w:pPr>
      <w:r>
        <w:rPr>
          <w:rFonts w:ascii="Aptos" w:hAnsi="Aptos"/>
          <w:b w:val="0"/>
          <w:i w:val="0"/>
          <w:color w:val="24313A"/>
          <w:sz w:val="21"/>
        </w:rPr>
        <w:t>Scientific interpretation: Older adults often have reduced renal function, polypharmacy, frailty, and greater vulnerability to hypoglycaemia or medication error.  Chronological age alone is less informative than renal function and overall treatment context.  Final geriatric advice must follow the approved local label.</w:t>
      </w:r>
    </w:p>
    <w:p>
      <w:pPr>
        <w:spacing w:after="140" w:line="283" w:lineRule="auto"/>
      </w:pPr>
      <w:r>
        <w:rPr>
          <w:rFonts w:ascii="Aptos" w:hAnsi="Aptos"/>
          <w:b w:val="0"/>
          <w:i w:val="0"/>
          <w:color w:val="24313A"/>
          <w:sz w:val="21"/>
        </w:rPr>
        <w:t>Scientific interpretation: Concomitant insulin or secretagogues, irregular medication routines, cognitive impairment, and caregiver involvement can materially affect weekly-dose safety.  A weekly product may simplify one aspect of treatment while adding calendar-related complexity.  Individualized education and verification remain essential.</w:t>
      </w:r>
    </w:p>
    <w:p>
      <w:r>
        <w:br w:type="page"/>
      </w:r>
    </w:p>
    <w:p>
      <w:pPr>
        <w:pStyle w:val="Heading1"/>
        <w:keepNext/>
      </w:pPr>
      <w:r>
        <w:rPr>
          <w:rFonts w:ascii="Aptos" w:hAnsi="Aptos"/>
          <w:b/>
          <w:i w:val="0"/>
          <w:color w:val="18324A"/>
          <w:sz w:val="32"/>
        </w:rPr>
        <w:t>10. Approved Role, Patient Selection, and Boundaries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A high-quality monograph helps clinicians identify both suitable and unsuitable use.</w:t>
            </w:r>
          </w:p>
        </w:tc>
      </w:tr>
    </w:tbl>
    <w:p>
      <w:pPr>
        <w:spacing w:after="40"/>
      </w:pPr>
    </w:p>
    <w:p>
      <w:pPr>
        <w:spacing w:after="140" w:line="283" w:lineRule="auto"/>
      </w:pPr>
      <w:r>
        <w:rPr>
          <w:rFonts w:ascii="Aptos" w:hAnsi="Aptos"/>
          <w:b w:val="0"/>
          <w:i w:val="0"/>
          <w:color w:val="24313A"/>
          <w:sz w:val="21"/>
        </w:rPr>
        <w:t>Scientific interpretation: A locally label-eligible adult with type 2 diabetes may be considered when DPP-4 inhibition is clinically appropriate and a weekly oral schedule fits the treatment plan.  The decision should incorporate glycaemic targets, comorbidities, renal function, concomitant therapy, and preferences.  This is a patient-selection framework, not a recommendation to prescribe.</w:t>
      </w:r>
    </w:p>
    <w:p>
      <w:pPr>
        <w:spacing w:after="140" w:line="283" w:lineRule="auto"/>
      </w:pPr>
      <w:r>
        <w:rPr>
          <w:rFonts w:ascii="Aptos" w:hAnsi="Aptos"/>
          <w:b w:val="0"/>
          <w:i w:val="0"/>
          <w:color w:val="24313A"/>
          <w:sz w:val="21"/>
        </w:rPr>
        <w:t>Scientific interpretation: Patients with compelling need for therapies with proven cardiovascular, heart-failure, kidney, or substantial weight benefits may require other treatment classes according to current guidelines.  Recognizing the limits of the trelagliptin evidence base protects clinical relevance.  The product should not be positioned as having benefits it has not demonstrated.</w:t>
      </w:r>
    </w:p>
    <w:p>
      <w:pPr>
        <w:spacing w:after="140" w:line="283" w:lineRule="auto"/>
      </w:pPr>
      <w:r>
        <w:rPr>
          <w:rFonts w:ascii="Aptos" w:hAnsi="Aptos"/>
          <w:b w:val="0"/>
          <w:i w:val="0"/>
          <w:color w:val="24313A"/>
          <w:sz w:val="21"/>
        </w:rPr>
        <w:t>Scientific interpretation: Type 1 diabetes, ketoacidosis, severe acute illness, perioperative states, significant renal impairment, and combinations that raise hypoglycaemia risk require careful label review.  The weekly interval can prolong exposure after an inappropriate dose.  Exact contraindications and precautions remain package-insert controlled.</w:t>
      </w:r>
    </w:p>
    <w:p>
      <w:r>
        <w:br w:type="page"/>
      </w:r>
    </w:p>
    <w:p>
      <w:pPr>
        <w:pStyle w:val="Heading1"/>
        <w:keepNext/>
      </w:pPr>
      <w:r>
        <w:rPr>
          <w:rFonts w:ascii="Aptos" w:hAnsi="Aptos"/>
          <w:b/>
          <w:i w:val="0"/>
          <w:color w:val="18324A"/>
          <w:sz w:val="32"/>
        </w:rPr>
        <w:t>11. Dosage, Administration, and Medication-Error Prevention</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Weekly dosing changes the operational work of prescribing and counselling.</w:t>
            </w:r>
          </w:p>
        </w:tc>
      </w:tr>
    </w:tbl>
    <w:p>
      <w:pPr>
        <w:spacing w:after="40"/>
      </w:pPr>
    </w:p>
    <w:p>
      <w:pPr>
        <w:spacing w:after="140" w:line="283" w:lineRule="auto"/>
      </w:pPr>
      <w:r>
        <w:rPr>
          <w:rFonts w:ascii="Aptos" w:hAnsi="Aptos"/>
          <w:b w:val="0"/>
          <w:i w:val="0"/>
          <w:color w:val="24313A"/>
          <w:sz w:val="21"/>
        </w:rPr>
        <w:t>Scientific interpretation: Japan regulatory information describes administration on the same day each week, with dose strength determined partly by renal function.  A fixed weekly day can support routine formation and accurate follow-up.  India dosing and strength selection must be confirmed from the current approved package insert.</w:t>
      </w:r>
    </w:p>
    <w:p>
      <w:pPr>
        <w:spacing w:after="140" w:line="283" w:lineRule="auto"/>
      </w:pPr>
      <w:r>
        <w:rPr>
          <w:rFonts w:ascii="Aptos" w:hAnsi="Aptos"/>
          <w:b w:val="0"/>
          <w:i w:val="0"/>
          <w:color w:val="24313A"/>
          <w:sz w:val="21"/>
        </w:rPr>
        <w:t>Scientific interpretation: Duplicate dosing, confusion during switching, and failure to adjust for renal function are foreseeable administration hazards.  Prescribers, pharmacists, patients, and caregivers should use a shared written dosing plan.  The final counselling script must reproduce approved local instructions.</w:t>
      </w:r>
    </w:p>
    <w:p>
      <w:pPr>
        <w:spacing w:after="140" w:line="283" w:lineRule="auto"/>
      </w:pPr>
      <w:r>
        <w:rPr>
          <w:rFonts w:ascii="Aptos" w:hAnsi="Aptos"/>
          <w:b w:val="0"/>
          <w:i w:val="0"/>
          <w:color w:val="24313A"/>
          <w:sz w:val="21"/>
        </w:rPr>
        <w:t>Scientific interpretation: Glycaemic response should be assessed using clinically appropriate measures and treatment goals rather than assuming benefit from convenience.  Review should also test whether the weekly routine is understood and followed correctly.  Failure to achieve goals should trigger reassessment of adherence, diagnosis, dose, combination therapy, and treatment strategy.</w:t>
      </w:r>
    </w:p>
    <w:p>
      <w:pPr>
        <w:pStyle w:val="ListBullet"/>
        <w:spacing w:after="80" w:line="269" w:lineRule="auto"/>
      </w:pPr>
      <w:r>
        <w:rPr>
          <w:rFonts w:ascii="Aptos" w:hAnsi="Aptos"/>
          <w:b w:val="0"/>
          <w:i w:val="0"/>
          <w:color w:val="24313A"/>
          <w:sz w:val="19"/>
        </w:rPr>
        <w:t>Record the chosen weekly administration day in the prescription and patient record.</w:t>
      </w:r>
    </w:p>
    <w:p>
      <w:pPr>
        <w:pStyle w:val="ListBullet"/>
        <w:spacing w:after="80" w:line="269" w:lineRule="auto"/>
      </w:pPr>
      <w:r>
        <w:rPr>
          <w:rFonts w:ascii="Aptos" w:hAnsi="Aptos"/>
          <w:b w:val="0"/>
          <w:i w:val="0"/>
          <w:color w:val="24313A"/>
          <w:sz w:val="19"/>
        </w:rPr>
        <w:t>Assess renal function before selecting strength and at clinically appropriate intervals.</w:t>
      </w:r>
    </w:p>
    <w:p>
      <w:pPr>
        <w:pStyle w:val="ListBullet"/>
        <w:spacing w:after="80" w:line="269" w:lineRule="auto"/>
      </w:pPr>
      <w:r>
        <w:rPr>
          <w:rFonts w:ascii="Aptos" w:hAnsi="Aptos"/>
          <w:b w:val="0"/>
          <w:i w:val="0"/>
          <w:color w:val="24313A"/>
          <w:sz w:val="19"/>
        </w:rPr>
        <w:t>Confirm the patient is not continuing a previous daily DPP-4 inhibitor unintentionally.</w:t>
      </w:r>
    </w:p>
    <w:p>
      <w:pPr>
        <w:pStyle w:val="ListBullet"/>
        <w:spacing w:after="80" w:line="269" w:lineRule="auto"/>
      </w:pPr>
      <w:r>
        <w:rPr>
          <w:rFonts w:ascii="Aptos" w:hAnsi="Aptos"/>
          <w:b w:val="0"/>
          <w:i w:val="0"/>
          <w:color w:val="24313A"/>
          <w:sz w:val="19"/>
        </w:rPr>
        <w:t>Provide label-aligned missed-dose and duplicate-dose instructions.</w:t>
      </w:r>
    </w:p>
    <w:p>
      <w:pPr>
        <w:pStyle w:val="ListBullet"/>
        <w:spacing w:after="80" w:line="269" w:lineRule="auto"/>
      </w:pPr>
      <w:r>
        <w:rPr>
          <w:rFonts w:ascii="Aptos" w:hAnsi="Aptos"/>
          <w:b w:val="0"/>
          <w:i w:val="0"/>
          <w:color w:val="24313A"/>
          <w:sz w:val="19"/>
        </w:rPr>
        <w:t>Review hypoglycaemia risk when insulin or insulin secretagogues are used.</w:t>
      </w:r>
    </w:p>
    <w:p>
      <w:r>
        <w:br w:type="page"/>
      </w:r>
    </w:p>
    <w:p>
      <w:pPr>
        <w:pStyle w:val="Heading1"/>
        <w:keepNext/>
      </w:pPr>
      <w:r>
        <w:rPr>
          <w:rFonts w:ascii="Aptos" w:hAnsi="Aptos"/>
          <w:b/>
          <w:i w:val="0"/>
          <w:color w:val="18324A"/>
          <w:sz w:val="32"/>
        </w:rPr>
        <w:t>12. Clinical Development Programme: Evidence Map</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evidence map shows what was studied, what was learned, and where uncertainty remains.</w:t>
            </w:r>
          </w:p>
        </w:tc>
      </w:tr>
    </w:tbl>
    <w:p>
      <w:pPr>
        <w:spacing w:after="40"/>
      </w:pPr>
    </w:p>
    <w:p>
      <w:pPr>
        <w:spacing w:after="140" w:line="283" w:lineRule="auto"/>
      </w:pPr>
      <w:r>
        <w:rPr>
          <w:rFonts w:ascii="Aptos" w:hAnsi="Aptos"/>
          <w:b w:val="0"/>
          <w:i w:val="0"/>
          <w:color w:val="24313A"/>
          <w:sz w:val="21"/>
        </w:rPr>
        <w:t>Scientific interpretation: The evidence base includes phase II dose-ranging, phase III active-controlled and long-term studies, switching studies, insulin add-on work, severe renal impairment, treatment-satisfaction studies, exploratory biomarker work, and an Indian comparative phase III trial.  This supports a multi-dimensional understanding of efficacy, safety, practical use, and patient experience.  Not every study has equal evidentiary weight or direct India-label relevance.</w:t>
      </w:r>
    </w:p>
    <w:p>
      <w:pPr>
        <w:spacing w:after="140" w:line="283" w:lineRule="auto"/>
      </w:pPr>
      <w:r>
        <w:rPr>
          <w:rFonts w:ascii="Aptos" w:hAnsi="Aptos"/>
          <w:b w:val="0"/>
          <w:i w:val="0"/>
          <w:color w:val="24313A"/>
          <w:sz w:val="21"/>
        </w:rPr>
        <w:t>Scientific interpretation: Randomized controlled pivotal and supportive trials provide the strongest basis for efficacy and safety interpretation, while open-label, single-arm, and exploratory studies provide contextual evidence.  A transparent hierarchy prevents selective emphasis.  Mechanistic and patient-reported outcomes should not be used to overstate clinical benefit.</w:t>
      </w:r>
    </w:p>
    <w:p>
      <w:pPr>
        <w:spacing w:after="140" w:line="283" w:lineRule="auto"/>
      </w:pPr>
      <w:r>
        <w:rPr>
          <w:rFonts w:ascii="Aptos" w:hAnsi="Aptos"/>
          <w:b w:val="0"/>
          <w:i w:val="0"/>
          <w:color w:val="24313A"/>
          <w:sz w:val="21"/>
        </w:rPr>
        <w:t>Scientific interpretation: No dedicated cardiovascular-outcomes programme or large India real-world outcomes programme was identified.  The monograph must therefore distinguish glycaemic efficacy from long-term clinical outcomes.  Absence of evidence should remain visible rather than being filled by class assumptions.</w:t>
      </w:r>
    </w:p>
    <w:p>
      <w:r>
        <w:br w:type="page"/>
      </w:r>
    </w:p>
    <w:p>
      <w:pPr>
        <w:pStyle w:val="Heading1"/>
        <w:keepNext/>
      </w:pPr>
      <w:r>
        <w:rPr>
          <w:rFonts w:ascii="Aptos" w:hAnsi="Aptos"/>
          <w:b/>
          <w:i w:val="0"/>
          <w:color w:val="18324A"/>
          <w:sz w:val="32"/>
        </w:rPr>
        <w:t>13. Study Profile: Phase II Dose-Ranging Study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What weekly dose produced a clinically useful balance of DPP-4 inhibition, HbA1c lowering, and tolerability?</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Randomized, double-blind, placebo-controlled, parallel-group phase II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Japanese patients with type 2 diabetes inadequately controlled by diet/exercise</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Weekly trelagliptin doses across 12.5-200 mg versus placebo</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Duration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12 weeks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Primary focus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Dose-response for HbA1c and safety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Key result</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Dose-dependent HbA1c lowering; 100 mg selected for later development</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PMID 24622716; PMDA review</w:t>
            </w:r>
          </w:p>
        </w:tc>
      </w:tr>
    </w:tbl>
    <w:p>
      <w:pPr>
        <w:spacing w:after="40"/>
      </w:pPr>
    </w:p>
    <w:p>
      <w:pPr>
        <w:spacing w:after="140" w:line="283" w:lineRule="auto"/>
      </w:pPr>
      <w:r>
        <w:rPr>
          <w:rFonts w:ascii="Aptos" w:hAnsi="Aptos"/>
          <w:b w:val="0"/>
          <w:i w:val="0"/>
          <w:color w:val="24313A"/>
          <w:sz w:val="21"/>
        </w:rPr>
        <w:t>Scientific interpretation: The study demonstrated a graded glycaemic response across weekly doses and supported 100 mg as a development dose.  It connected sustained pharmacodynamics with clinically measurable HbA1c reduction.  Short duration and a Japanese study population limit long-term and broader-population inference.</w:t>
      </w:r>
    </w:p>
    <w:p>
      <w:pPr>
        <w:spacing w:after="140" w:line="283" w:lineRule="auto"/>
      </w:pPr>
      <w:r>
        <w:rPr>
          <w:rFonts w:ascii="Aptos" w:hAnsi="Aptos"/>
          <w:b w:val="0"/>
          <w:i w:val="0"/>
          <w:color w:val="24313A"/>
          <w:sz w:val="21"/>
        </w:rPr>
        <w:t>Scientific interpretation: No investigator-defined hypoglycaemia was reported in the dose-ranging study summary.  This is consistent with glucose-dependent class pharmacology in the studied setting.  It does not establish absence of hypoglycaemia in combination therapy or routine practice.</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This study established proof of concept and dose selection. It should be used to explain development logic, not to claim that higher doses or weekly dosing are universally preferable.</w:t>
            </w:r>
          </w:p>
        </w:tc>
      </w:tr>
    </w:tbl>
    <w:p>
      <w:pPr>
        <w:spacing w:after="40"/>
      </w:pPr>
    </w:p>
    <w:p>
      <w:r>
        <w:br w:type="page"/>
      </w:r>
    </w:p>
    <w:p>
      <w:pPr>
        <w:pStyle w:val="Heading1"/>
        <w:keepNext/>
      </w:pPr>
      <w:r>
        <w:rPr>
          <w:rFonts w:ascii="Aptos" w:hAnsi="Aptos"/>
          <w:b/>
          <w:i w:val="0"/>
          <w:color w:val="18324A"/>
          <w:sz w:val="32"/>
        </w:rPr>
        <w:t>14. Study Profile: Phase III Trelagliptin Versus Alogliptin</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Could once-weekly trelagliptin maintain glycaemic efficacy comparable with a daily DPP-4 inhibitor?</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Randomized, double-blind, double-dummy, active- and placebo-controlled phase III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Japanese patients with type 2 diabetes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Trelagliptin 100 mg once weekly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Comparator</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Alogliptin 25 mg once daily; placebo arm</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Duration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24 weeks</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Primary endpoint</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Change in HbA1c and non-inferiority framework</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Key numerical result</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HbA1c change approximately -0.33% versus -0.45%; difference 0.11%, 95% CI -0.054 to 0.281</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PMID 25609193</w:t>
            </w:r>
          </w:p>
        </w:tc>
      </w:tr>
    </w:tbl>
    <w:p>
      <w:pPr>
        <w:spacing w:after="40"/>
      </w:pPr>
    </w:p>
    <w:p>
      <w:pPr>
        <w:spacing w:after="140" w:line="283" w:lineRule="auto"/>
      </w:pPr>
      <w:r>
        <w:rPr>
          <w:rFonts w:ascii="Aptos" w:hAnsi="Aptos"/>
          <w:b w:val="0"/>
          <w:i w:val="0"/>
          <w:color w:val="24313A"/>
          <w:sz w:val="21"/>
        </w:rPr>
        <w:t>Scientific interpretation: The prespecified analysis supported non-inferiority of trelagliptin to alogliptin for HbA1c change in the studied population.  The finding supports comparable glycaemic efficacy within the trial's design and margin.  Non-inferiority is not superiority and should not be generalized beyond the studied population, dose, comparator, and duration.</w:t>
      </w:r>
    </w:p>
    <w:p>
      <w:pPr>
        <w:spacing w:after="140" w:line="283" w:lineRule="auto"/>
      </w:pPr>
      <w:r>
        <w:rPr>
          <w:rFonts w:ascii="Aptos" w:hAnsi="Aptos"/>
          <w:b w:val="0"/>
          <w:i w:val="0"/>
          <w:color w:val="24313A"/>
          <w:sz w:val="21"/>
        </w:rPr>
        <w:t>Scientific interpretation: Overall adverse-event frequency was described as similar, with no reported hypoglycaemia in the trelagliptin group.  The controlled design supports a useful comparative safety perspective.  The sample and duration are insufficient for uncommon or long-latency risks.</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The study is the pivotal comparative efficacy anchor for trelagliptin. Every use of the non-inferiority finding must retain the comparator, endpoint, population, duration, and confidence interval.</w:t>
            </w:r>
          </w:p>
        </w:tc>
      </w:tr>
    </w:tbl>
    <w:p>
      <w:pPr>
        <w:spacing w:after="40"/>
      </w:pPr>
    </w:p>
    <w:p>
      <w:r>
        <w:br w:type="page"/>
      </w:r>
    </w:p>
    <w:p>
      <w:pPr>
        <w:pStyle w:val="Heading1"/>
        <w:keepNext/>
      </w:pPr>
      <w:r>
        <w:rPr>
          <w:rFonts w:ascii="Aptos" w:hAnsi="Aptos"/>
          <w:b/>
          <w:i w:val="0"/>
          <w:color w:val="18324A"/>
          <w:sz w:val="32"/>
        </w:rPr>
        <w:t>15. Study Profile: 52-Week Monotherapy and Combination Study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Does glycaemic efficacy and tolerability persist through one year across common background therapies?</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Open-label phase III long-term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680 Japanese patients with type 2 diabetes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Trelagliptin 100 mg weekly as monotherapy or with other glucose-lowering agents</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Duration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52 weeks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Key result</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Mean HbA1c changes varied by background regimen, approximately -0.26% to -0.73%</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Safety</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Adverse drug-reaction rates varied across treatment groups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PMID 27181699</w:t>
            </w:r>
          </w:p>
        </w:tc>
      </w:tr>
    </w:tbl>
    <w:p>
      <w:pPr>
        <w:spacing w:after="40"/>
      </w:pPr>
    </w:p>
    <w:p>
      <w:pPr>
        <w:spacing w:after="140" w:line="283" w:lineRule="auto"/>
      </w:pPr>
      <w:r>
        <w:rPr>
          <w:rFonts w:ascii="Aptos" w:hAnsi="Aptos"/>
          <w:b w:val="0"/>
          <w:i w:val="0"/>
          <w:color w:val="24313A"/>
          <w:sz w:val="21"/>
        </w:rPr>
        <w:t>Scientific interpretation: It extended exposure to 52 weeks and examined trelagliptin across several clinically relevant treatment combinations.  This supports understanding of durability and tolerability beyond short pivotal trials.  Open-label design and absence of a concurrent comparator limit causal comparison.</w:t>
      </w:r>
    </w:p>
    <w:p>
      <w:pPr>
        <w:spacing w:after="140" w:line="283" w:lineRule="auto"/>
      </w:pPr>
      <w:r>
        <w:rPr>
          <w:rFonts w:ascii="Aptos" w:hAnsi="Aptos"/>
          <w:b w:val="0"/>
          <w:i w:val="0"/>
          <w:color w:val="24313A"/>
          <w:sz w:val="21"/>
        </w:rPr>
        <w:t>Scientific interpretation: Observed HbA1c changes and safety events differed across combination groups.  This reflects the clinical importance of concomitant therapy.  Cross-group differences should not be interpreted as randomized comparisons.</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This study supports one-year treatment experience but is best interpreted descriptively. It cannot establish comparative superiority or long-term outcome benefit.</w:t>
            </w:r>
          </w:p>
        </w:tc>
      </w:tr>
    </w:tbl>
    <w:p>
      <w:pPr>
        <w:spacing w:after="40"/>
      </w:pPr>
    </w:p>
    <w:p>
      <w:r>
        <w:br w:type="page"/>
      </w:r>
    </w:p>
    <w:p>
      <w:pPr>
        <w:pStyle w:val="Heading1"/>
        <w:keepNext/>
      </w:pPr>
      <w:r>
        <w:rPr>
          <w:rFonts w:ascii="Aptos" w:hAnsi="Aptos"/>
          <w:b/>
          <w:i w:val="0"/>
          <w:color w:val="18324A"/>
          <w:sz w:val="32"/>
        </w:rPr>
        <w:t>16. Study Profile: Trelagliptin Added to Insulin</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What happens when weekly DPP-4 inhibition is added to insulin in inadequately controlled type 2 diabetes?</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Multicentre randomized double-blind placebo-controlled 12-week phase followed by 40-week open-label extension</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Japanese patients receiving insulin with HbA1c 7.5-10.0%</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Randomized groups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Trelagliptin 100 mg weekly plus insulin, n=116; placebo plus insulin, n=124</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Primary finding</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Placebo-adjusted HbA1c reduction approximately -0.63% at 12 weeks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Safety focus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Hypoglycaemia and long-term tolerability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PMCID PMC6175153</w:t>
            </w:r>
          </w:p>
        </w:tc>
      </w:tr>
    </w:tbl>
    <w:p>
      <w:pPr>
        <w:spacing w:after="40"/>
      </w:pPr>
    </w:p>
    <w:p>
      <w:pPr>
        <w:spacing w:after="140" w:line="283" w:lineRule="auto"/>
      </w:pPr>
      <w:r>
        <w:rPr>
          <w:rFonts w:ascii="Aptos" w:hAnsi="Aptos"/>
          <w:b w:val="0"/>
          <w:i w:val="0"/>
          <w:color w:val="24313A"/>
          <w:sz w:val="21"/>
        </w:rPr>
        <w:t>Scientific interpretation: Adding trelagliptin to insulin improved HbA1c versus placebo over 12 weeks.  The result supports additive glycaemic efficacy in the studied insulin-treated population.  Combination therapy increases the importance of hypoglycaemia surveillance and insulin review.</w:t>
      </w:r>
    </w:p>
    <w:p>
      <w:pPr>
        <w:spacing w:after="140" w:line="283" w:lineRule="auto"/>
      </w:pPr>
      <w:r>
        <w:rPr>
          <w:rFonts w:ascii="Aptos" w:hAnsi="Aptos"/>
          <w:b w:val="0"/>
          <w:i w:val="0"/>
          <w:color w:val="24313A"/>
          <w:sz w:val="21"/>
        </w:rPr>
        <w:t>Scientific interpretation: The open-label extension provided longer exposure and safety observation.  It adds useful treatment-experience context.  Without continued placebo control, later outcomes are descriptive.</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The study supports add-on efficacy with insulin in Japan. India-facing combination claims and dose-management instructions require confirmation from the India-approved label.</w:t>
            </w:r>
          </w:p>
        </w:tc>
      </w:tr>
    </w:tbl>
    <w:p>
      <w:pPr>
        <w:spacing w:after="40"/>
      </w:pPr>
    </w:p>
    <w:p>
      <w:r>
        <w:br w:type="page"/>
      </w:r>
    </w:p>
    <w:p>
      <w:pPr>
        <w:pStyle w:val="Heading1"/>
        <w:keepNext/>
      </w:pPr>
      <w:r>
        <w:rPr>
          <w:rFonts w:ascii="Aptos" w:hAnsi="Aptos"/>
          <w:b/>
          <w:i w:val="0"/>
          <w:color w:val="18324A"/>
          <w:sz w:val="32"/>
        </w:rPr>
        <w:t>17. Study Profile: Severe Renal Impairment and ESRD Study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Can a reduced weekly dose provide glycaemic benefit in severe renal impairment or ESRD?</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Randomized phase III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Japanese patients with severe renal impairment or ESRD</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Trelagliptin 25 mg once weekly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Controlled duration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12 weeks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Key result</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HbA1c decreased approximately 0.72% versus placebo</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PMCID PMC7078116</w:t>
            </w:r>
          </w:p>
        </w:tc>
      </w:tr>
    </w:tbl>
    <w:p>
      <w:pPr>
        <w:spacing w:after="40"/>
      </w:pPr>
    </w:p>
    <w:p>
      <w:pPr>
        <w:spacing w:after="140" w:line="283" w:lineRule="auto"/>
      </w:pPr>
      <w:r>
        <w:rPr>
          <w:rFonts w:ascii="Aptos" w:hAnsi="Aptos"/>
          <w:b w:val="0"/>
          <w:i w:val="0"/>
          <w:color w:val="24313A"/>
          <w:sz w:val="21"/>
        </w:rPr>
        <w:t>Scientific interpretation: Advanced renal impairment changes exposure and narrows treatment choices.  The study linked a one-quarter dose to glycaemic efficacy in the studied Japanese population.  It does not authorize extrapolation of Japan renal dosing into India without the local label.</w:t>
      </w:r>
    </w:p>
    <w:p>
      <w:pPr>
        <w:spacing w:after="140" w:line="283" w:lineRule="auto"/>
      </w:pPr>
      <w:r>
        <w:rPr>
          <w:rFonts w:ascii="Aptos" w:hAnsi="Aptos"/>
          <w:b w:val="0"/>
          <w:i w:val="0"/>
          <w:color w:val="24313A"/>
          <w:sz w:val="21"/>
        </w:rPr>
        <w:t>Scientific interpretation: Renal function can change over time and dialysis removes only a limited proportion of a dose.  Correct strength selection remains a continuing safety task.  A reduced dose is not a substitute for ongoing assessment.</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This study is essential to the scientific rationale for renal dose reduction. Its regulatory application remains jurisdiction-specific.</w:t>
            </w:r>
          </w:p>
        </w:tc>
      </w:tr>
    </w:tbl>
    <w:p>
      <w:pPr>
        <w:spacing w:after="40"/>
      </w:pPr>
    </w:p>
    <w:p>
      <w:r>
        <w:br w:type="page"/>
      </w:r>
    </w:p>
    <w:p>
      <w:pPr>
        <w:pStyle w:val="Heading1"/>
        <w:keepNext/>
      </w:pPr>
      <w:r>
        <w:rPr>
          <w:rFonts w:ascii="Aptos" w:hAnsi="Aptos"/>
          <w:b/>
          <w:i w:val="0"/>
          <w:color w:val="18324A"/>
          <w:sz w:val="32"/>
        </w:rPr>
        <w:t>18. Study Profile: Switching From Daily DPP-4 Inhibition</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Can stable patients switch from a daily DPP-4 inhibitor to weekly trelagliptin without major glycaemic disruption?</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Open-label phase III exploratory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Japanese patients with stable glycaemic control on daily sitagliptin</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Intervention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Switch to weekly trelagliptin</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Focus</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Glycaemic control, safety, and practical switching</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PMCID PMC5835476</w:t>
            </w:r>
          </w:p>
        </w:tc>
      </w:tr>
    </w:tbl>
    <w:p>
      <w:pPr>
        <w:spacing w:after="40"/>
      </w:pPr>
    </w:p>
    <w:p>
      <w:pPr>
        <w:spacing w:after="140" w:line="283" w:lineRule="auto"/>
      </w:pPr>
      <w:r>
        <w:rPr>
          <w:rFonts w:ascii="Aptos" w:hAnsi="Aptos"/>
          <w:b w:val="0"/>
          <w:i w:val="0"/>
          <w:color w:val="24313A"/>
          <w:sz w:val="21"/>
        </w:rPr>
        <w:t>Scientific interpretation: Stable glycaemic control was broadly maintained after switching in the selected study population.  The finding supports the feasibility of a planned switch under defined conditions.  It is not a universal switching recommendation and does not remove the need to prevent overlap or dosing error.</w:t>
      </w:r>
    </w:p>
    <w:p>
      <w:pPr>
        <w:spacing w:after="140" w:line="283" w:lineRule="auto"/>
      </w:pPr>
      <w:r>
        <w:rPr>
          <w:rFonts w:ascii="Aptos" w:hAnsi="Aptos"/>
          <w:b w:val="0"/>
          <w:i w:val="0"/>
          <w:color w:val="24313A"/>
          <w:sz w:val="21"/>
        </w:rPr>
        <w:t>Scientific interpretation: Switching requires clear discontinuation of the previous DPP-4 inhibitor and clear identification of the weekly administration day.  Operational precision is part of clinical safety.  The current local label and clinical judgment must govern any switch.</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The study supports a structured switching concept in selected stable patients. Its exploratory design and small sample require restraint.</w:t>
            </w:r>
          </w:p>
        </w:tc>
      </w:tr>
    </w:tbl>
    <w:p>
      <w:pPr>
        <w:spacing w:after="40"/>
      </w:pPr>
    </w:p>
    <w:p>
      <w:r>
        <w:br w:type="page"/>
      </w:r>
    </w:p>
    <w:p>
      <w:pPr>
        <w:pStyle w:val="Heading1"/>
        <w:keepNext/>
      </w:pPr>
      <w:r>
        <w:rPr>
          <w:rFonts w:ascii="Aptos" w:hAnsi="Aptos"/>
          <w:b/>
          <w:i w:val="0"/>
          <w:color w:val="18324A"/>
          <w:sz w:val="32"/>
        </w:rPr>
        <w:t>19. Study Profile: Treatment Satisfaction and Quality-of-Life Studies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Does weekly administration change how patients experience diabetes treatment?</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Open-label randomized studies</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Populations</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Japanese patients continuing or initiating DPP-4 inhibitor therapy</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Comparisons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Weekly trelagliptin versus daily DPP-4 inhibitor strategies</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Outcomes</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DTSQ, DTR-QOL, treatment-burden and satisfaction measures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Sources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PMID 29093280; PMCID PMC6612345</w:t>
            </w:r>
          </w:p>
        </w:tc>
      </w:tr>
    </w:tbl>
    <w:p>
      <w:pPr>
        <w:spacing w:after="40"/>
      </w:pPr>
    </w:p>
    <w:p>
      <w:pPr>
        <w:spacing w:after="140" w:line="283" w:lineRule="auto"/>
      </w:pPr>
      <w:r>
        <w:rPr>
          <w:rFonts w:ascii="Aptos" w:hAnsi="Aptos"/>
          <w:b w:val="0"/>
          <w:i w:val="0"/>
          <w:color w:val="24313A"/>
          <w:sz w:val="21"/>
        </w:rPr>
        <w:t>Scientific interpretation: Some studies reported improvement in selected treatment-burden or quality-of-life domains with weekly administration.  This supports the idea that dosing frequency can matter to selected patients.  Patient-reported improvement does not prove better adherence, glycaemic outcomes, or persistence in broader practice.</w:t>
      </w:r>
    </w:p>
    <w:p>
      <w:pPr>
        <w:spacing w:after="140" w:line="283" w:lineRule="auto"/>
      </w:pPr>
      <w:r>
        <w:rPr>
          <w:rFonts w:ascii="Aptos" w:hAnsi="Aptos"/>
          <w:b w:val="0"/>
          <w:i w:val="0"/>
          <w:color w:val="24313A"/>
          <w:sz w:val="21"/>
        </w:rPr>
        <w:t>Scientific interpretation: Satisfaction outcomes are vulnerable to open-label expectations and individual preference.  They should be described precisely by instrument and domain.  A general claim that weekly dosing improves adherence remains unsupported without direct adherence evidence.</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Patient-experience evidence can enrich shared decision-making, but it must not be elevated above clinical efficacy, safety, or outcome evidence.</w:t>
            </w:r>
          </w:p>
        </w:tc>
      </w:tr>
    </w:tbl>
    <w:p>
      <w:pPr>
        <w:spacing w:after="40"/>
      </w:pPr>
    </w:p>
    <w:p>
      <w:r>
        <w:br w:type="page"/>
      </w:r>
    </w:p>
    <w:p>
      <w:pPr>
        <w:pStyle w:val="Heading1"/>
        <w:keepNext/>
      </w:pPr>
      <w:r>
        <w:rPr>
          <w:rFonts w:ascii="Aptos" w:hAnsi="Aptos"/>
          <w:b/>
          <w:i w:val="0"/>
          <w:color w:val="18324A"/>
          <w:sz w:val="32"/>
        </w:rPr>
        <w:t>20. Study Profile: Indian Phase III Comparison With Vildagliptin</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How did once-weekly trelagliptin perform against a commonly used twice-daily DPP-4 inhibitor in Indian patients?</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Design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Multicentre randomized open-label active-controlled non-inferiority phase III study</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Sites</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10 geographically distinct Indian sites</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Population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240 treatment-naive Indian patients with type 2 diabetes randomized 1:1</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Interventions</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Trelagliptin 100 mg once weekly versus vildagliptin 50 mg twice daily</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Duration</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16 weeks</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Primary endpoint</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Non-inferiority for change in HbA1c</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Reported HbA1c change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-0.89% versus -1.00%; difference 0.11%, 95% CI -0.28 to 0.50</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Source</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PMCID PMC12215575</w:t>
            </w:r>
          </w:p>
        </w:tc>
      </w:tr>
    </w:tbl>
    <w:p>
      <w:pPr>
        <w:spacing w:after="40"/>
      </w:pPr>
    </w:p>
    <w:p>
      <w:pPr>
        <w:spacing w:after="140" w:line="283" w:lineRule="auto"/>
      </w:pPr>
      <w:r>
        <w:rPr>
          <w:rFonts w:ascii="Aptos" w:hAnsi="Aptos"/>
          <w:b w:val="0"/>
          <w:i w:val="0"/>
          <w:color w:val="24313A"/>
          <w:sz w:val="21"/>
        </w:rPr>
        <w:t>Scientific interpretation: It directly evaluates trelagliptin in an Indian population against an active comparator used in India.  The study adds local clinical evidence to a programme otherwise dominated by Japanese data.  Open-label design, 16-week duration, and the prespecified margin must remain visible.</w:t>
      </w:r>
    </w:p>
    <w:p>
      <w:pPr>
        <w:spacing w:after="140" w:line="283" w:lineRule="auto"/>
      </w:pPr>
      <w:r>
        <w:rPr>
          <w:rFonts w:ascii="Aptos" w:hAnsi="Aptos"/>
          <w:b w:val="0"/>
          <w:i w:val="0"/>
          <w:color w:val="24313A"/>
          <w:sz w:val="21"/>
        </w:rPr>
        <w:t>Scientific interpretation: The reported analysis supports non-inferiority for HbA1c reduction within the studied design.  This provides a locally relevant efficacy comparison.  It cannot establish superiority, long-term safety, adherence advantage, or clinical-outcome equivalence.</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This is the principal India-specific efficacy source identified. Claims must reproduce the design, comparator, duration, numerical result, and limitations accurately.</w:t>
            </w:r>
          </w:p>
        </w:tc>
      </w:tr>
    </w:tbl>
    <w:p>
      <w:pPr>
        <w:spacing w:after="40"/>
      </w:pPr>
    </w:p>
    <w:p>
      <w:r>
        <w:br w:type="page"/>
      </w:r>
    </w:p>
    <w:p>
      <w:pPr>
        <w:pStyle w:val="Heading1"/>
        <w:keepNext/>
      </w:pPr>
      <w:r>
        <w:rPr>
          <w:rFonts w:ascii="Aptos" w:hAnsi="Aptos"/>
          <w:b/>
          <w:i w:val="0"/>
          <w:color w:val="18324A"/>
          <w:sz w:val="32"/>
        </w:rPr>
        <w:t>21. Study Profile: Exploratory and Emerging Evidence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Clinical focus</w:t>
            </w:r>
          </w:p>
          <w:p>
            <w:pPr>
              <w:spacing w:after="0" w:line="276" w:lineRule="auto"/>
            </w:pPr>
            <w:r>
              <w:rPr>
                <w:rFonts w:ascii="Aptos" w:hAnsi="Aptos"/>
                <w:b w:val="0"/>
                <w:i w:val="0"/>
                <w:color w:val="24313A"/>
                <w:sz w:val="19"/>
              </w:rPr>
              <w:t>Do biomarker and comparative-mechanism studies add clinically actionable information?</w:t>
            </w:r>
          </w:p>
        </w:tc>
      </w:tr>
    </w:tbl>
    <w:p>
      <w:pPr>
        <w:spacing w:after="40"/>
      </w:pPr>
    </w:p>
    <w:tbl>
      <w:tblPr>
        <w:tblStyle w:val="TableGrid"/>
        <w:tblW w:type="auto" w:w="0"/>
        <w:jc w:val="center"/>
        <w:tblLayout w:type="fixed"/>
        <w:tblLook w:firstColumn="1" w:firstRow="1" w:lastColumn="0" w:lastRow="0" w:noHBand="0" w:noVBand="1" w:val="04A0"/>
      </w:tblPr>
      <w:tblGrid>
        <w:gridCol w:w="2376"/>
        <w:gridCol w:w="6624"/>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Study element</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6"/>
              </w:rPr>
              <w:t>Detail</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Examples</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Endothelial-function pilot study; DUET-beta beta-cell function study; PBPK-DPP-4 occupancy modeling</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Evidence level</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Exploratory, small, mechanistic, or modeled</w:t>
            </w:r>
          </w:p>
        </w:tc>
      </w:tr>
      <w:tr>
        <w:tc>
          <w:tcPr>
            <w:tcW w:type="dxa" w:w="237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Purpose</w:t>
            </w:r>
          </w:p>
        </w:tc>
        <w:tc>
          <w:tcPr>
            <w:tcW w:type="dxa" w:w="662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6"/>
              </w:rPr>
              <w:t>Hypothesis generation and refinement of pharmacological understanding</w:t>
            </w:r>
          </w:p>
        </w:tc>
      </w:tr>
      <w:tr>
        <w:tc>
          <w:tcPr>
            <w:tcW w:type="dxa" w:w="237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Sources</w:t>
            </w:r>
          </w:p>
        </w:tc>
        <w:tc>
          <w:tcPr>
            <w:tcW w:type="dxa" w:w="662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6"/>
              </w:rPr>
              <w:t>PMCID PMC5096292; PMCID PMC11291836; Biomed Pharmacother 2022 model</w:t>
            </w:r>
          </w:p>
        </w:tc>
      </w:tr>
    </w:tbl>
    <w:p>
      <w:pPr>
        <w:spacing w:after="40"/>
      </w:pPr>
    </w:p>
    <w:p>
      <w:pPr>
        <w:spacing w:after="140" w:line="283" w:lineRule="auto"/>
      </w:pPr>
      <w:r>
        <w:rPr>
          <w:rFonts w:ascii="Aptos" w:hAnsi="Aptos"/>
          <w:b w:val="0"/>
          <w:i w:val="0"/>
          <w:color w:val="24313A"/>
          <w:sz w:val="21"/>
        </w:rPr>
        <w:t>Scientific interpretation: A small single-arm study found no significant change in flow-mediated dilation while adiponectin increased.  The result demonstrates why biomarker findings require cautious interpretation.  It does not support a vascular-outcome claim.</w:t>
      </w:r>
    </w:p>
    <w:p>
      <w:pPr>
        <w:spacing w:after="140" w:line="283" w:lineRule="auto"/>
      </w:pPr>
      <w:r>
        <w:rPr>
          <w:rFonts w:ascii="Aptos" w:hAnsi="Aptos"/>
          <w:b w:val="0"/>
          <w:i w:val="0"/>
          <w:color w:val="24313A"/>
          <w:sz w:val="21"/>
        </w:rPr>
        <w:t>Scientific interpretation: The randomized study compared trelagliptin with dulaglutide for beta-cell-function measures and found different glycaemic and biomarker effects.  It helps define the distinct therapeutic intensity and biology of the compared classes.  Small sample size and mechanistic endpoints limit broad practice conclusions.</w:t>
      </w:r>
    </w:p>
    <w:p>
      <w:pPr>
        <w:spacing w:after="140" w:line="283" w:lineRule="auto"/>
      </w:pPr>
      <w:r>
        <w:rPr>
          <w:rFonts w:ascii="Aptos" w:hAnsi="Aptos"/>
          <w:b w:val="0"/>
          <w:i w:val="0"/>
          <w:color w:val="24313A"/>
          <w:sz w:val="21"/>
        </w:rPr>
        <w:t>Scientific interpretation: PBPK and DPP-4 occupancy modeling can illuminate renal-impairment exposure and dosing logic.  Models support hypothesis testing and dose rationale.  They do not replace observed clinical outcomes or approved dosing instructions.</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Evidence interpretation</w:t>
            </w:r>
          </w:p>
          <w:p>
            <w:pPr>
              <w:spacing w:after="0" w:line="276" w:lineRule="auto"/>
            </w:pPr>
            <w:r>
              <w:rPr>
                <w:rFonts w:ascii="Aptos" w:hAnsi="Aptos"/>
                <w:b w:val="0"/>
                <w:i w:val="0"/>
                <w:color w:val="24313A"/>
                <w:sz w:val="19"/>
              </w:rPr>
              <w:t>Emerging evidence belongs in a scientific monograph, but it should be clearly labelled as exploratory and kept outside core approved claims.</w:t>
            </w:r>
          </w:p>
        </w:tc>
      </w:tr>
    </w:tbl>
    <w:p>
      <w:pPr>
        <w:spacing w:after="40"/>
      </w:pPr>
    </w:p>
    <w:p>
      <w:r>
        <w:br w:type="page"/>
      </w:r>
    </w:p>
    <w:p>
      <w:pPr>
        <w:pStyle w:val="Heading1"/>
        <w:keepNext/>
      </w:pPr>
      <w:r>
        <w:rPr>
          <w:rFonts w:ascii="Aptos" w:hAnsi="Aptos"/>
          <w:b/>
          <w:i w:val="0"/>
          <w:color w:val="18324A"/>
          <w:sz w:val="32"/>
        </w:rPr>
        <w:t>22. Safety Profile and Pharmacovigilance Perspective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Safety interpretation must be as visible and detailed as efficacy.</w:t>
            </w:r>
          </w:p>
        </w:tc>
      </w:tr>
    </w:tbl>
    <w:p>
      <w:pPr>
        <w:spacing w:after="40"/>
      </w:pPr>
    </w:p>
    <w:p>
      <w:pPr>
        <w:spacing w:after="140" w:line="283" w:lineRule="auto"/>
      </w:pPr>
      <w:r>
        <w:rPr>
          <w:rFonts w:ascii="Aptos" w:hAnsi="Aptos"/>
          <w:b w:val="0"/>
          <w:i w:val="0"/>
          <w:color w:val="24313A"/>
          <w:sz w:val="21"/>
        </w:rPr>
        <w:t>Scientific interpretation: Across published trials, trelagliptin was generally tolerated in the studied populations, with overall safety patterns broadly consistent with DPP-4 inhibition.  This supports a characterized clinical-trial safety profile.  Trial size and duration limit detection of uncommon, delayed, or population-specific risks.</w:t>
      </w:r>
    </w:p>
    <w:p>
      <w:pPr>
        <w:spacing w:after="140" w:line="283" w:lineRule="auto"/>
      </w:pPr>
      <w:r>
        <w:rPr>
          <w:rFonts w:ascii="Aptos" w:hAnsi="Aptos"/>
          <w:b w:val="0"/>
          <w:i w:val="0"/>
          <w:color w:val="24313A"/>
          <w:sz w:val="21"/>
        </w:rPr>
        <w:t>Scientific interpretation: Applicable regulatory information identifies hypoglycaemia in combination settings and class- or product-relevant concerns including pancreatitis, hypersensitivity, bullous pemphigoid, and ileus.  Early recognition and label-aligned action are important because pharmacological effects may persist after discontinuation.  Exact India warning and adverse-reaction wording must be verified.</w:t>
      </w:r>
    </w:p>
    <w:p>
      <w:pPr>
        <w:spacing w:after="140" w:line="283" w:lineRule="auto"/>
      </w:pPr>
      <w:r>
        <w:rPr>
          <w:rFonts w:ascii="Aptos" w:hAnsi="Aptos"/>
          <w:b w:val="0"/>
          <w:i w:val="0"/>
          <w:color w:val="24313A"/>
          <w:sz w:val="21"/>
        </w:rPr>
        <w:t>Scientific interpretation: Post-marketing observations and label revisions can differ by market and time.  A monograph must reconcile current local pharmacovigilance information immediately before approval.  Historical Japan safety language cannot be presented as the current India label.</w:t>
      </w:r>
    </w:p>
    <w:p>
      <w:r>
        <w:br w:type="page"/>
      </w:r>
    </w:p>
    <w:p>
      <w:pPr>
        <w:pStyle w:val="Heading1"/>
        <w:keepNext/>
      </w:pPr>
      <w:r>
        <w:rPr>
          <w:rFonts w:ascii="Aptos" w:hAnsi="Aptos"/>
          <w:b/>
          <w:i w:val="0"/>
          <w:color w:val="18324A"/>
          <w:sz w:val="32"/>
        </w:rPr>
        <w:t>23. Hypoglycaemia, Pancreatitis, and Other Clinically Important Risks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Risk sections should tell the HCP what to notice, what to verify, and what remains uncertain.</w:t>
            </w:r>
          </w:p>
        </w:tc>
      </w:tr>
    </w:tbl>
    <w:p>
      <w:pPr>
        <w:spacing w:after="40"/>
      </w:pPr>
    </w:p>
    <w:p>
      <w:pPr>
        <w:spacing w:after="140" w:line="283" w:lineRule="auto"/>
      </w:pPr>
      <w:r>
        <w:rPr>
          <w:rFonts w:ascii="Aptos" w:hAnsi="Aptos"/>
          <w:b w:val="0"/>
          <w:i w:val="0"/>
          <w:color w:val="24313A"/>
          <w:sz w:val="21"/>
        </w:rPr>
        <w:t>Scientific interpretation: DPP-4 inhibition has glucose-dependent effects, but the risk increases when combined with insulin or insulin secretagogues.  Medication review and patient education are central risk controls.  Dose changes to concomitant therapy must follow clinical judgment and approved guidance.</w:t>
      </w:r>
    </w:p>
    <w:p>
      <w:pPr>
        <w:spacing w:after="140" w:line="283" w:lineRule="auto"/>
      </w:pPr>
      <w:r>
        <w:rPr>
          <w:rFonts w:ascii="Aptos" w:hAnsi="Aptos"/>
          <w:b w:val="0"/>
          <w:i w:val="0"/>
          <w:color w:val="24313A"/>
          <w:sz w:val="21"/>
        </w:rPr>
        <w:t>Scientific interpretation: Persistent severe abdominal pain or vomiting can require assessment for pancreatitis according to applicable regulatory guidance.  Weekly exposure makes prompt recognition particularly important.  The monograph cannot replace urgent clinical evaluation or the package insert.</w:t>
      </w:r>
    </w:p>
    <w:p>
      <w:pPr>
        <w:spacing w:after="140" w:line="283" w:lineRule="auto"/>
      </w:pPr>
      <w:r>
        <w:rPr>
          <w:rFonts w:ascii="Aptos" w:hAnsi="Aptos"/>
          <w:b w:val="0"/>
          <w:i w:val="0"/>
          <w:color w:val="24313A"/>
          <w:sz w:val="21"/>
        </w:rPr>
        <w:t>Scientific interpretation: Hypersensitivity, blistering skin disease, and symptoms suggestive of intestinal obstruction are among clinically important concerns identified in regulatory context.  Clear counselling can improve recognition and escalation.  Frequency and exact action language require the current local label.</w:t>
      </w:r>
    </w:p>
    <w:p>
      <w:r>
        <w:br w:type="page"/>
      </w:r>
    </w:p>
    <w:p>
      <w:pPr>
        <w:pStyle w:val="Heading1"/>
        <w:keepNext/>
      </w:pPr>
      <w:r>
        <w:rPr>
          <w:rFonts w:ascii="Aptos" w:hAnsi="Aptos"/>
          <w:b/>
          <w:i w:val="0"/>
          <w:color w:val="18324A"/>
          <w:sz w:val="32"/>
        </w:rPr>
        <w:t>24. Interactions and Concomitant Therapy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interaction chapter connects pharmacology with the realities of polypharmacy.</w:t>
            </w:r>
          </w:p>
        </w:tc>
      </w:tr>
    </w:tbl>
    <w:p>
      <w:pPr>
        <w:spacing w:after="40"/>
      </w:pPr>
    </w:p>
    <w:p>
      <w:pPr>
        <w:spacing w:after="140" w:line="283" w:lineRule="auto"/>
      </w:pPr>
      <w:r>
        <w:rPr>
          <w:rFonts w:ascii="Aptos" w:hAnsi="Aptos"/>
          <w:b w:val="0"/>
          <w:i w:val="0"/>
          <w:color w:val="24313A"/>
          <w:sz w:val="21"/>
        </w:rPr>
        <w:t>Scientific interpretation: Trelagliptin undergoes limited metabolism and is largely eliminated unchanged in urine.  This reduces emphasis on extensive CYP-mediated interaction pathways.  It does not remove the need to review all concomitant medicines and renal function.</w:t>
      </w:r>
    </w:p>
    <w:p>
      <w:pPr>
        <w:spacing w:after="140" w:line="283" w:lineRule="auto"/>
      </w:pPr>
      <w:r>
        <w:rPr>
          <w:rFonts w:ascii="Aptos" w:hAnsi="Aptos"/>
          <w:b w:val="0"/>
          <w:i w:val="0"/>
          <w:color w:val="24313A"/>
          <w:sz w:val="21"/>
        </w:rPr>
        <w:t>Scientific interpretation: Insulin and insulin secretagogues can increase hypoglycaemia risk, while other glucose-lowering therapies may alter the overall benefit-risk balance.  Combination treatment should be purposeful and monitored.  Approved combination use and dose advice remain jurisdiction-specific.</w:t>
      </w:r>
    </w:p>
    <w:p>
      <w:pPr>
        <w:spacing w:after="140" w:line="283" w:lineRule="auto"/>
      </w:pPr>
      <w:r>
        <w:rPr>
          <w:rFonts w:ascii="Aptos" w:hAnsi="Aptos"/>
          <w:b w:val="0"/>
          <w:i w:val="0"/>
          <w:color w:val="24313A"/>
          <w:sz w:val="21"/>
        </w:rPr>
        <w:t>Scientific interpretation: A weekly medicine can overlap unintentionally with a previous daily DPP-4 inhibitor during switching or fragmented care.  Medication reconciliation and clear documentation prevent avoidable exposure.  There is no clinical rationale for routine combination of two DPP-4 inhibitors.</w:t>
      </w:r>
    </w:p>
    <w:p>
      <w:r>
        <w:br w:type="page"/>
      </w:r>
    </w:p>
    <w:p>
      <w:pPr>
        <w:pStyle w:val="Heading1"/>
        <w:keepNext/>
      </w:pPr>
      <w:r>
        <w:rPr>
          <w:rFonts w:ascii="Aptos" w:hAnsi="Aptos"/>
          <w:b/>
          <w:i w:val="0"/>
          <w:color w:val="18324A"/>
          <w:sz w:val="32"/>
        </w:rPr>
        <w:t>25. Place in Therapy and Fair Comparative Framing</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Place-in-therapy analysis should clarify choice without manufacturing superiority.</w:t>
            </w:r>
          </w:p>
        </w:tc>
      </w:tr>
    </w:tbl>
    <w:p>
      <w:pPr>
        <w:spacing w:after="40"/>
      </w:pPr>
    </w:p>
    <w:p>
      <w:pPr>
        <w:spacing w:after="140" w:line="283" w:lineRule="auto"/>
      </w:pPr>
      <w:r>
        <w:rPr>
          <w:rFonts w:ascii="Aptos" w:hAnsi="Aptos"/>
          <w:b w:val="0"/>
          <w:i w:val="0"/>
          <w:color w:val="24313A"/>
          <w:sz w:val="21"/>
        </w:rPr>
        <w:t>Scientific interpretation: Trelagliptin's clearest demonstrated distinction is once-weekly oral administration with HbA1c-lowering efficacy supported by comparative studies.  This may be relevant to selected patients and treatment routines.  Convenience must not be presented as superior efficacy, adherence, or outcomes.</w:t>
      </w:r>
    </w:p>
    <w:p>
      <w:pPr>
        <w:spacing w:after="140" w:line="283" w:lineRule="auto"/>
      </w:pPr>
      <w:r>
        <w:rPr>
          <w:rFonts w:ascii="Aptos" w:hAnsi="Aptos"/>
          <w:b w:val="0"/>
          <w:i w:val="0"/>
          <w:color w:val="24313A"/>
          <w:sz w:val="21"/>
        </w:rPr>
        <w:t>Scientific interpretation: Head-to-head evidence exists with alogliptin and vildagliptin in defined populations and durations.  These trials permit precise non-inferiority statements.  They do not justify broad class superiority or cross-trial ranking.</w:t>
      </w:r>
    </w:p>
    <w:p>
      <w:pPr>
        <w:spacing w:after="140" w:line="283" w:lineRule="auto"/>
      </w:pPr>
      <w:r>
        <w:rPr>
          <w:rFonts w:ascii="Aptos" w:hAnsi="Aptos"/>
          <w:b w:val="0"/>
          <w:i w:val="0"/>
          <w:color w:val="24313A"/>
          <w:sz w:val="21"/>
        </w:rPr>
        <w:t>Scientific interpretation: Other classes have demonstrated cardiovascular, kidney, heart-failure, or weight outcomes in selected populations.  Those outcome priorities may dominate treatment selection.  A balanced monograph must state that trelagliptin has not established those benefits.</w:t>
      </w:r>
    </w:p>
    <w:p>
      <w:r>
        <w:br w:type="page"/>
      </w:r>
    </w:p>
    <w:p>
      <w:pPr>
        <w:pStyle w:val="Heading1"/>
        <w:keepNext/>
      </w:pPr>
      <w:r>
        <w:rPr>
          <w:rFonts w:ascii="Aptos" w:hAnsi="Aptos"/>
          <w:b/>
          <w:i w:val="0"/>
          <w:color w:val="18324A"/>
          <w:sz w:val="32"/>
        </w:rPr>
        <w:t>26. Practical HCP Initiation and Monitoring Framework</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Practical guidance turns scientific knowledge into safer clinical workflow.</w:t>
            </w:r>
          </w:p>
        </w:tc>
      </w:tr>
    </w:tbl>
    <w:p>
      <w:pPr>
        <w:spacing w:after="40"/>
      </w:pPr>
    </w:p>
    <w:p>
      <w:pPr>
        <w:spacing w:after="140" w:line="283" w:lineRule="auto"/>
      </w:pPr>
      <w:r>
        <w:rPr>
          <w:rFonts w:ascii="Aptos" w:hAnsi="Aptos"/>
          <w:b w:val="0"/>
          <w:i w:val="0"/>
          <w:color w:val="24313A"/>
          <w:sz w:val="21"/>
        </w:rPr>
        <w:t>Scientific interpretation: Confirm type 2 diabetes, current treatment, renal function, glycaemic status, comorbidities, pregnancy considerations, hypoglycaemia risk, and the current approved indication.  A structured baseline reduces avoidable mismatch.  This framework supplements but does not replace the local label or clinical judgment.</w:t>
      </w:r>
    </w:p>
    <w:p>
      <w:pPr>
        <w:spacing w:after="140" w:line="283" w:lineRule="auto"/>
      </w:pPr>
      <w:r>
        <w:rPr>
          <w:rFonts w:ascii="Aptos" w:hAnsi="Aptos"/>
          <w:b w:val="0"/>
          <w:i w:val="0"/>
          <w:color w:val="24313A"/>
          <w:sz w:val="21"/>
        </w:rPr>
        <w:t>Scientific interpretation: Assess glycaemic response, tolerability, hypoglycaemia, medication understanding, weekly-day adherence, renal function when appropriate, and whether treatment priorities have changed.  Review distinguishes actual clinical value from theoretical convenience.  Persistent inadequate control should trigger treatment reassessment.</w:t>
      </w:r>
    </w:p>
    <w:p>
      <w:pPr>
        <w:spacing w:after="140" w:line="283" w:lineRule="auto"/>
      </w:pPr>
      <w:r>
        <w:rPr>
          <w:rFonts w:ascii="Aptos" w:hAnsi="Aptos"/>
          <w:b w:val="0"/>
          <w:i w:val="0"/>
          <w:color w:val="24313A"/>
          <w:sz w:val="21"/>
        </w:rPr>
        <w:t>Scientific interpretation: Patients should know the weekly day, what to do if a dose is missed, how to avoid duplicate dosing, when to seek help, and why other diabetes medicines may still be necessary.  Clear education is a core safety intervention.  Final counselling must use approved local instructions.</w:t>
      </w:r>
    </w:p>
    <w:p>
      <w:pPr>
        <w:pStyle w:val="ListBullet"/>
        <w:spacing w:after="80" w:line="269" w:lineRule="auto"/>
      </w:pPr>
      <w:r>
        <w:rPr>
          <w:rFonts w:ascii="Aptos" w:hAnsi="Aptos"/>
          <w:b w:val="0"/>
          <w:i w:val="0"/>
          <w:color w:val="24313A"/>
          <w:sz w:val="19"/>
        </w:rPr>
        <w:t>Confirm the current India-approved indication and dose.</w:t>
      </w:r>
    </w:p>
    <w:p>
      <w:pPr>
        <w:pStyle w:val="ListBullet"/>
        <w:spacing w:after="80" w:line="269" w:lineRule="auto"/>
      </w:pPr>
      <w:r>
        <w:rPr>
          <w:rFonts w:ascii="Aptos" w:hAnsi="Aptos"/>
          <w:b w:val="0"/>
          <w:i w:val="0"/>
          <w:color w:val="24313A"/>
          <w:sz w:val="19"/>
        </w:rPr>
        <w:t>Document renal function and selected strength.</w:t>
      </w:r>
    </w:p>
    <w:p>
      <w:pPr>
        <w:pStyle w:val="ListBullet"/>
        <w:spacing w:after="80" w:line="269" w:lineRule="auto"/>
      </w:pPr>
      <w:r>
        <w:rPr>
          <w:rFonts w:ascii="Aptos" w:hAnsi="Aptos"/>
          <w:b w:val="0"/>
          <w:i w:val="0"/>
          <w:color w:val="24313A"/>
          <w:sz w:val="19"/>
        </w:rPr>
        <w:t>Reconcile all glucose-lowering medicines.</w:t>
      </w:r>
    </w:p>
    <w:p>
      <w:pPr>
        <w:pStyle w:val="ListBullet"/>
        <w:spacing w:after="80" w:line="269" w:lineRule="auto"/>
      </w:pPr>
      <w:r>
        <w:rPr>
          <w:rFonts w:ascii="Aptos" w:hAnsi="Aptos"/>
          <w:b w:val="0"/>
          <w:i w:val="0"/>
          <w:color w:val="24313A"/>
          <w:sz w:val="19"/>
        </w:rPr>
        <w:t>Choose and document a fixed weekly day.</w:t>
      </w:r>
    </w:p>
    <w:p>
      <w:pPr>
        <w:pStyle w:val="ListBullet"/>
        <w:spacing w:after="80" w:line="269" w:lineRule="auto"/>
      </w:pPr>
      <w:r>
        <w:rPr>
          <w:rFonts w:ascii="Aptos" w:hAnsi="Aptos"/>
          <w:b w:val="0"/>
          <w:i w:val="0"/>
          <w:color w:val="24313A"/>
          <w:sz w:val="19"/>
        </w:rPr>
        <w:t>Provide written missed-dose guidance from the approved label.</w:t>
      </w:r>
    </w:p>
    <w:p>
      <w:pPr>
        <w:pStyle w:val="ListBullet"/>
        <w:spacing w:after="80" w:line="269" w:lineRule="auto"/>
      </w:pPr>
      <w:r>
        <w:rPr>
          <w:rFonts w:ascii="Aptos" w:hAnsi="Aptos"/>
          <w:b w:val="0"/>
          <w:i w:val="0"/>
          <w:color w:val="24313A"/>
          <w:sz w:val="19"/>
        </w:rPr>
        <w:t>Review response and safety at an appropriate interval.</w:t>
      </w:r>
    </w:p>
    <w:p>
      <w:r>
        <w:br w:type="page"/>
      </w:r>
    </w:p>
    <w:p>
      <w:pPr>
        <w:pStyle w:val="Heading1"/>
        <w:keepNext/>
      </w:pPr>
      <w:r>
        <w:rPr>
          <w:rFonts w:ascii="Aptos" w:hAnsi="Aptos"/>
          <w:b/>
          <w:i w:val="0"/>
          <w:color w:val="18324A"/>
          <w:sz w:val="32"/>
        </w:rPr>
        <w:t>27. Evidence Gaps and Research Priorities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A trustworthy monograph makes the limits of knowledge easy to find.</w:t>
            </w:r>
          </w:p>
        </w:tc>
      </w:tr>
    </w:tbl>
    <w:p>
      <w:pPr>
        <w:spacing w:after="40"/>
      </w:pPr>
    </w:p>
    <w:p>
      <w:pPr>
        <w:spacing w:after="140" w:line="283" w:lineRule="auto"/>
      </w:pPr>
      <w:r>
        <w:rPr>
          <w:rFonts w:ascii="Aptos" w:hAnsi="Aptos"/>
          <w:b w:val="0"/>
          <w:i w:val="0"/>
          <w:color w:val="24313A"/>
          <w:sz w:val="21"/>
        </w:rPr>
        <w:t>Scientific interpretation: Dedicated evidence for cardiovascular events, kidney outcomes, mortality, microvascular complications, and long-term adherence-related clinical benefit was not identified.  These gaps define the boundaries of responsible claims.  They should remain visible in summaries and comparisons.</w:t>
      </w:r>
    </w:p>
    <w:p>
      <w:pPr>
        <w:spacing w:after="140" w:line="283" w:lineRule="auto"/>
      </w:pPr>
      <w:r>
        <w:rPr>
          <w:rFonts w:ascii="Aptos" w:hAnsi="Aptos"/>
          <w:b w:val="0"/>
          <w:i w:val="0"/>
          <w:color w:val="24313A"/>
          <w:sz w:val="21"/>
        </w:rPr>
        <w:t>Scientific interpretation: Broader India real-world populations, severe hepatic impairment, pregnancy, lactation, pediatric patients, and diverse multimorbidity settings remain incompletely characterized.  Further evidence could refine patient selection and safety.  Until then, use must remain label-aligned and cautious.</w:t>
      </w:r>
    </w:p>
    <w:p>
      <w:pPr>
        <w:spacing w:after="140" w:line="283" w:lineRule="auto"/>
      </w:pPr>
      <w:r>
        <w:rPr>
          <w:rFonts w:ascii="Aptos" w:hAnsi="Aptos"/>
          <w:b w:val="0"/>
          <w:i w:val="0"/>
          <w:color w:val="24313A"/>
          <w:sz w:val="21"/>
        </w:rPr>
        <w:t>Scientific interpretation: Large pragmatic studies, post-marketing surveillance, medication-error analyses, long-term persistence studies, and outcome-focused comparative research would add clinical value.  A living monograph should update when such evidence emerges.  Future evidence must be critically appraised rather than added automatically.</w:t>
      </w:r>
    </w:p>
    <w:p>
      <w:r>
        <w:br w:type="page"/>
      </w:r>
    </w:p>
    <w:p>
      <w:pPr>
        <w:pStyle w:val="Heading1"/>
        <w:keepNext/>
      </w:pPr>
      <w:r>
        <w:rPr>
          <w:rFonts w:ascii="Aptos" w:hAnsi="Aptos"/>
          <w:b/>
          <w:i w:val="0"/>
          <w:color w:val="18324A"/>
          <w:sz w:val="32"/>
        </w:rPr>
        <w:t>28. Balanced Scientific Conclusions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chapter matters</w:t>
            </w:r>
          </w:p>
          <w:p>
            <w:pPr>
              <w:spacing w:after="0" w:line="276" w:lineRule="auto"/>
            </w:pPr>
            <w:r>
              <w:rPr>
                <w:rFonts w:ascii="Aptos" w:hAnsi="Aptos"/>
                <w:b w:val="0"/>
                <w:i w:val="0"/>
                <w:color w:val="24313A"/>
                <w:sz w:val="19"/>
              </w:rPr>
              <w:t>The conclusion should help an HCP remember the evidence, the practical role, and the limits together.</w:t>
            </w:r>
          </w:p>
        </w:tc>
      </w:tr>
    </w:tbl>
    <w:p>
      <w:pPr>
        <w:spacing w:after="40"/>
      </w:pPr>
    </w:p>
    <w:p>
      <w:pPr>
        <w:spacing w:after="140" w:line="283" w:lineRule="auto"/>
      </w:pPr>
      <w:r>
        <w:rPr>
          <w:rFonts w:ascii="Aptos" w:hAnsi="Aptos"/>
          <w:b w:val="0"/>
          <w:i w:val="0"/>
          <w:color w:val="24313A"/>
          <w:sz w:val="21"/>
        </w:rPr>
        <w:t>Scientific interpretation: Trelagliptin is a selective long-acting DPP-4 inhibitor with a once-weekly oral schedule and an evidence base demonstrating HbA1c lowering in studied populations.  Comparative trials support non-inferiority to selected daily DPP-4 inhibitors under defined conditions.  The conclusion must remain tied to those endpoints and conditions.</w:t>
      </w:r>
    </w:p>
    <w:p>
      <w:pPr>
        <w:spacing w:after="140" w:line="283" w:lineRule="auto"/>
      </w:pPr>
      <w:r>
        <w:rPr>
          <w:rFonts w:ascii="Aptos" w:hAnsi="Aptos"/>
          <w:b w:val="0"/>
          <w:i w:val="0"/>
          <w:color w:val="24313A"/>
          <w:sz w:val="21"/>
        </w:rPr>
        <w:t>Scientific interpretation: The weekly schedule and sustained pharmacodynamic activity create a different administration model from daily DPP-4 inhibitors.  This may be practically relevant for selected patients.  It also creates distinctive renal-dose, switching, missed-dose, and duplicate-dose controls.</w:t>
      </w:r>
    </w:p>
    <w:p>
      <w:pPr>
        <w:spacing w:after="140" w:line="283" w:lineRule="auto"/>
      </w:pPr>
      <w:r>
        <w:rPr>
          <w:rFonts w:ascii="Aptos" w:hAnsi="Aptos"/>
          <w:b w:val="0"/>
          <w:i w:val="0"/>
          <w:color w:val="24313A"/>
          <w:sz w:val="21"/>
        </w:rPr>
        <w:t>Scientific interpretation: The evidence does not establish superiority, cardiovascular or renal outcome benefit, mortality benefit, or universal adherence improvement.  Those boundaries preserve scientific credibility and support informed treatment selection.  The current India package insert remains essential before external use.</w:t>
      </w:r>
    </w:p>
    <w:p>
      <w:r>
        <w:br w:type="page"/>
      </w:r>
    </w:p>
    <w:p>
      <w:pPr>
        <w:pStyle w:val="Heading1"/>
        <w:keepNext/>
      </w:pPr>
      <w:r>
        <w:rPr>
          <w:rFonts w:ascii="Aptos" w:hAnsi="Aptos"/>
          <w:b/>
          <w:i w:val="0"/>
          <w:color w:val="18324A"/>
          <w:sz w:val="32"/>
        </w:rPr>
        <w:t>Appendix: Evidence-Search and Interpretation Methodology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Why this appendix matters</w:t>
            </w:r>
          </w:p>
          <w:p>
            <w:pPr>
              <w:spacing w:after="0" w:line="276" w:lineRule="auto"/>
            </w:pPr>
            <w:r>
              <w:rPr>
                <w:rFonts w:ascii="Aptos" w:hAnsi="Aptos"/>
                <w:b w:val="0"/>
                <w:i w:val="0"/>
                <w:color w:val="24313A"/>
                <w:sz w:val="19"/>
              </w:rPr>
              <w:t>A detailed monograph on trelagliptin is only as trustworthy as the process used to find, verify, interpret, and update its evidence.</w:t>
            </w:r>
          </w:p>
        </w:tc>
      </w:tr>
    </w:tbl>
    <w:p>
      <w:pPr>
        <w:spacing w:after="40"/>
      </w:pPr>
    </w:p>
    <w:p>
      <w:pPr>
        <w:spacing w:after="140" w:line="283" w:lineRule="auto"/>
      </w:pPr>
      <w:r>
        <w:rPr>
          <w:rFonts w:ascii="Aptos" w:hAnsi="Aptos"/>
          <w:b w:val="0"/>
          <w:i w:val="0"/>
          <w:color w:val="24313A"/>
          <w:sz w:val="21"/>
        </w:rPr>
        <w:t>Scientific interpretation: The search pathway combined regulator portals, PubMed, PubMed Central, open-access journal repositories, trial registries, citation chaining, and broader open-web discovery. Google Scholar can help locate related papers and cited-by networks, but every result must be verified against the original journal, DOI, registry, or regulator record.  This layered approach reduces the risk that an important study is missed simply because it is indexed inconsistently.  The present qualification run is extensive but is not represented as a formally registered systematic review with duplicate independent screening.</w:t>
      </w:r>
    </w:p>
    <w:p>
      <w:pPr>
        <w:spacing w:after="140" w:line="283" w:lineRule="auto"/>
      </w:pPr>
      <w:r>
        <w:rPr>
          <w:rFonts w:ascii="Aptos" w:hAnsi="Aptos"/>
          <w:b w:val="0"/>
          <w:i w:val="0"/>
          <w:color w:val="24313A"/>
          <w:sz w:val="21"/>
        </w:rPr>
        <w:t>Scientific interpretation: PubMed identifies indexed records, while PubMed Central provides accessible full text for many clinically important articles. Full text permits verification of eligibility criteria, analysis populations, missing-data methods, confidence intervals, adverse events, and limitations that are often absent from abstracts.  This is especially important before making comparisons or quoting numerical results.  Open access does not itself establish quality; study design and relevance remain decisive.</w:t>
      </w:r>
    </w:p>
    <w:p>
      <w:pPr>
        <w:spacing w:after="140" w:line="283" w:lineRule="auto"/>
      </w:pPr>
      <w:r>
        <w:rPr>
          <w:rFonts w:ascii="Aptos" w:hAnsi="Aptos"/>
          <w:b w:val="0"/>
          <w:i w:val="0"/>
          <w:color w:val="24313A"/>
          <w:sz w:val="21"/>
        </w:rPr>
        <w:t>Scientific interpretation: The current authority-approved local package insert is the controlling source for indication, dosage, contraindications, warnings, and mandatory safety language. Other regulator documents can provide development history, review reasoning, pharmacology, and safety context.  Jurisdiction separation prevents a scientifically correct foreign-label statement from becoming an incorrect local prescribing claim.  Where the current India package insert is unavailable, the monograph must remain a controlled draft.</w:t>
      </w:r>
    </w:p>
    <w:p>
      <w:pPr>
        <w:spacing w:after="140" w:line="283" w:lineRule="auto"/>
      </w:pPr>
      <w:r>
        <w:rPr>
          <w:rFonts w:ascii="Aptos" w:hAnsi="Aptos"/>
          <w:b w:val="0"/>
          <w:i w:val="0"/>
          <w:color w:val="24313A"/>
          <w:sz w:val="21"/>
        </w:rPr>
        <w:t>Scientific interpretation: Randomized controlled pivotal trials generally provide stronger evidence for causal efficacy than uncontrolled studies, while long-term extensions add exposure information and observational studies add real-world context. Mechanistic, biomarker, and preclinical studies answer different questions and are labelled accordingly.  The hierarchy helps readers understand how much confidence to place in each finding.  No study is upgraded merely because its result is favorable.</w:t>
      </w:r>
    </w:p>
    <w:p>
      <w:pPr>
        <w:spacing w:after="140" w:line="283" w:lineRule="auto"/>
      </w:pPr>
      <w:r>
        <w:rPr>
          <w:rFonts w:ascii="Aptos" w:hAnsi="Aptos"/>
          <w:b w:val="0"/>
          <w:i w:val="0"/>
          <w:color w:val="24313A"/>
          <w:sz w:val="21"/>
        </w:rPr>
        <w:t>Scientific interpretation: A defensible comparison identifies the comparator, population, background therapy, duration, endpoint, analysis method, absolute result, confidence interval, and limitations. Head-to-head randomized evidence is treated differently from cross-trial context.  This preserves clinical meaning and prevents hanging comparisons.  A statistically significant difference is not automatically clinically important.</w:t>
      </w:r>
    </w:p>
    <w:p>
      <w:pPr>
        <w:spacing w:after="140" w:line="283" w:lineRule="auto"/>
      </w:pPr>
      <w:r>
        <w:rPr>
          <w:rFonts w:ascii="Aptos" w:hAnsi="Aptos"/>
          <w:b w:val="0"/>
          <w:i w:val="0"/>
          <w:color w:val="24313A"/>
          <w:sz w:val="21"/>
        </w:rPr>
        <w:t>Scientific interpretation: Non-inferiority depends on a prespecified margin, appropriate analysis populations, assay sensitivity, adherence to protocol, and confidence intervals. The conclusion applies to the studied endpoint and conditions.  It can support that a product was not unacceptably worse than its comparator within the margin.  It does not establish superiority, equivalence for all outcomes, or interchangeability in every patient.</w:t>
      </w:r>
    </w:p>
    <w:p>
      <w:pPr>
        <w:spacing w:after="140" w:line="283" w:lineRule="auto"/>
      </w:pPr>
      <w:r>
        <w:rPr>
          <w:rFonts w:ascii="Aptos" w:hAnsi="Aptos"/>
          <w:b w:val="0"/>
          <w:i w:val="0"/>
          <w:color w:val="24313A"/>
          <w:sz w:val="21"/>
        </w:rPr>
        <w:t>Scientific interpretation: Safety assessment combines trial adverse events, regulator reviews, post-marketing signals, label changes, pharmacovigilance communications, and clinically relevant class context. Denominators, exposure duration, seriousness, expectedness, and causality limitations are retained.  This makes the safety narrative usable without falsely implying certainty.  Absence of a signal in a small trial cannot establish absence of risk.</w:t>
      </w:r>
    </w:p>
    <w:p>
      <w:pPr>
        <w:spacing w:after="140" w:line="283" w:lineRule="auto"/>
      </w:pPr>
      <w:r>
        <w:rPr>
          <w:rFonts w:ascii="Aptos" w:hAnsi="Aptos"/>
          <w:b w:val="0"/>
          <w:i w:val="0"/>
          <w:color w:val="24313A"/>
          <w:sz w:val="21"/>
        </w:rPr>
        <w:t>Scientific interpretation: A complete monograph includes clinically important findings that did not show benefit, such as neutral pulmonary-function results, absent biomarker changes, or lack of demonstrated hard outcomes.  Neutral findings define what the medicine should not be expected to do and protect against overinterpretation.  Selective omission of unfavorable evidence would make the monograph scientifically misleading.</w:t>
      </w:r>
    </w:p>
    <w:p>
      <w:pPr>
        <w:spacing w:after="140" w:line="283" w:lineRule="auto"/>
      </w:pPr>
      <w:r>
        <w:rPr>
          <w:rFonts w:ascii="Aptos" w:hAnsi="Aptos"/>
          <w:b w:val="0"/>
          <w:i w:val="0"/>
          <w:color w:val="24313A"/>
          <w:sz w:val="21"/>
        </w:rPr>
        <w:t>Scientific interpretation: P-values and confidence intervals describe statistical evidence, while clinical relevance depends on effect magnitude, baseline risk, endpoint importance, duration, patient burden, and alternatives.  The monograph therefore explains what a numerical result could mean in practice.  Small statistically significant changes should not be transformed into broad treatment claims.</w:t>
      </w:r>
    </w:p>
    <w:p>
      <w:pPr>
        <w:spacing w:after="140" w:line="283" w:lineRule="auto"/>
      </w:pPr>
      <w:r>
        <w:rPr>
          <w:rFonts w:ascii="Aptos" w:hAnsi="Aptos"/>
          <w:b w:val="0"/>
          <w:i w:val="0"/>
          <w:color w:val="24313A"/>
          <w:sz w:val="21"/>
        </w:rPr>
        <w:t>Scientific interpretation: Treatment satisfaction, quality of life, symptom scores, and convenience measures can capture outcomes that laboratory values miss. They are also sensitive to expectations, open-label design, instrument selection, and individual preferences.  These outcomes can support shared decision-making when described precisely.  They do not automatically prove adherence, persistence, or improved clinical outcomes.</w:t>
      </w:r>
    </w:p>
    <w:p>
      <w:pPr>
        <w:spacing w:after="140" w:line="283" w:lineRule="auto"/>
      </w:pPr>
      <w:r>
        <w:rPr>
          <w:rFonts w:ascii="Aptos" w:hAnsi="Aptos"/>
          <w:b w:val="0"/>
          <w:i w:val="0"/>
          <w:color w:val="24313A"/>
          <w:sz w:val="21"/>
        </w:rPr>
        <w:t>Scientific interpretation: The search actively looks for outcomes and populations that are absent as well as those that are present. Examples include cardiovascular outcomes, exacerbations, pregnancy, pediatrics, severe organ impairment, long-term India evidence, and uncommon adverse events.  Visible gaps prevent model-generated assumptions from filling missing knowledge.  A gap should trigger caution or future research, not a stronger claim.</w:t>
      </w:r>
    </w:p>
    <w:p>
      <w:pPr>
        <w:spacing w:after="140" w:line="283" w:lineRule="auto"/>
      </w:pPr>
      <w:r>
        <w:rPr>
          <w:rFonts w:ascii="Aptos" w:hAnsi="Aptos"/>
          <w:b w:val="0"/>
          <w:i w:val="0"/>
          <w:color w:val="24313A"/>
          <w:sz w:val="21"/>
        </w:rPr>
        <w:t>Scientific interpretation: A pre-approval update search should review regulator changes, new trials, corrections, retractions, safety communications, guidelines, and sponsor pharmacovigilance information. Material changes should update the claim-source matrix and trigger relevant reviewers.  A living monograph remains current without losing traceability.  No update becomes effective without controlled review and approval.</w:t>
      </w:r>
    </w:p>
    <w:p>
      <w:pPr>
        <w:spacing w:after="140" w:line="283" w:lineRule="auto"/>
      </w:pPr>
      <w:r>
        <w:rPr>
          <w:rFonts w:ascii="Aptos" w:hAnsi="Aptos"/>
          <w:b w:val="0"/>
          <w:i w:val="0"/>
          <w:color w:val="24313A"/>
          <w:sz w:val="21"/>
        </w:rPr>
        <w:t>The reference set is reviewed a second time after drafting so that the bibliography, the claim matrix, and the prescribing-information placeholder stay in step. That extra pass matters because small label or citation mismatches can quietly distort the final scientific meaning of a monograph even when the document looks complete on the page.</w:t>
      </w:r>
    </w:p>
    <w:p>
      <w:pPr>
        <w:spacing w:after="140" w:line="283" w:lineRule="auto"/>
      </w:pPr>
      <w:r>
        <w:rPr>
          <w:rFonts w:ascii="Aptos" w:hAnsi="Aptos"/>
          <w:b w:val="0"/>
          <w:i w:val="0"/>
          <w:color w:val="24313A"/>
          <w:sz w:val="21"/>
        </w:rPr>
        <w:t>A final interpretive sweep checks whether the open-web source set is balanced between regulator records, company disclosures, and independent peer-reviewed literature. Where a sponsor-hosted page is used, the text should be treated as useful supporting material rather than the last word on approved prescribing status. Where an open-access journal article is used, the analysis should still identify the study design, comparator, population, follow-up, and the limits of extrapolation. This layered handling of references is what prevents a polished monograph from drifting into an overconfident brochure.</w:t>
      </w:r>
    </w:p>
    <w:p>
      <w:pPr>
        <w:spacing w:after="140" w:line="283" w:lineRule="auto"/>
      </w:pPr>
      <w:r>
        <w:rPr>
          <w:rFonts w:ascii="Aptos" w:hAnsi="Aptos"/>
          <w:b w:val="0"/>
          <w:i w:val="0"/>
          <w:color w:val="24313A"/>
          <w:sz w:val="21"/>
        </w:rPr>
        <w:t>The same discipline applies to updates. A monograph should be re-opened whenever a regulator changes the label, a sponsor revises the package insert, a new pivotal study shifts the benefit-risk conversation, or a safety communication adds a meaningful warning. At that point, the task is not merely to append new citations. The reviewer must decide whether the claim matrix, the prescribing placeholder, the HCP question set, and the practical-use guidance all still tell a consistent story. That is the difference between a document that merely looks finished and a document that is genuinely controlled.</w:t>
      </w:r>
    </w:p>
    <w:p>
      <w:pPr>
        <w:pStyle w:val="Heading2"/>
        <w:keepNext/>
      </w:pPr>
      <w:r>
        <w:rPr>
          <w:rFonts w:ascii="Aptos" w:hAnsi="Aptos"/>
          <w:b/>
          <w:i w:val="0"/>
          <w:color w:val="137C7B"/>
          <w:sz w:val="25"/>
        </w:rPr>
        <w:t>Evidence hierarchy used in this qualification draft</w:t>
      </w:r>
    </w:p>
    <w:tbl>
      <w:tblPr>
        <w:tblStyle w:val="TableGrid"/>
        <w:tblW w:type="auto" w:w="0"/>
        <w:jc w:val="center"/>
        <w:tblLayout w:type="fixed"/>
        <w:tblLook w:firstColumn="1" w:firstRow="1" w:lastColumn="0" w:lastRow="0" w:noHBand="0" w:noVBand="1" w:val="04A0"/>
      </w:tblPr>
      <w:tblGrid>
        <w:gridCol w:w="936"/>
        <w:gridCol w:w="2592"/>
        <w:gridCol w:w="3168"/>
        <w:gridCol w:w="2304"/>
      </w:tblGrid>
      <w:tr>
        <w:trPr>
          <w:tblHeader w:val="true"/>
        </w:trPr>
        <w:tc>
          <w:tcPr>
            <w:tcW w:type="dxa" w:w="2412"/>
            <w:shd w:fill="18324A"/>
            <w:tcMar>
              <w:top w:w="100" w:type="dxa"/>
              <w:start w:w="120" w:type="dxa"/>
              <w:bottom w:w="100" w:type="dxa"/>
              <w:end w:w="120" w:type="dxa"/>
            </w:tcMar>
            <w:vAlign w:val="center"/>
          </w:tcPr>
          <w:p>
            <w:pPr>
              <w:jc w:val="center"/>
            </w:pPr>
            <w:r/>
            <w:r>
              <w:rPr>
                <w:rFonts w:ascii="Aptos" w:hAnsi="Aptos"/>
                <w:b/>
                <w:i w:val="0"/>
                <w:color w:val="FFFFFF"/>
                <w:sz w:val="15"/>
              </w:rPr>
              <w:t>Evidence level</w:t>
            </w:r>
          </w:p>
        </w:tc>
        <w:tc>
          <w:tcPr>
            <w:tcW w:type="dxa" w:w="2412"/>
            <w:shd w:fill="18324A"/>
            <w:tcMar>
              <w:top w:w="100" w:type="dxa"/>
              <w:start w:w="120" w:type="dxa"/>
              <w:bottom w:w="100" w:type="dxa"/>
              <w:end w:w="120" w:type="dxa"/>
            </w:tcMar>
            <w:vAlign w:val="center"/>
          </w:tcPr>
          <w:p>
            <w:pPr>
              <w:jc w:val="center"/>
            </w:pPr>
            <w:r/>
            <w:r>
              <w:rPr>
                <w:rFonts w:ascii="Aptos" w:hAnsi="Aptos"/>
                <w:b/>
                <w:i w:val="0"/>
                <w:color w:val="FFFFFF"/>
                <w:sz w:val="15"/>
              </w:rPr>
              <w:t>Typical source</w:t>
            </w:r>
          </w:p>
        </w:tc>
        <w:tc>
          <w:tcPr>
            <w:tcW w:type="dxa" w:w="2412"/>
            <w:shd w:fill="18324A"/>
            <w:tcMar>
              <w:top w:w="100" w:type="dxa"/>
              <w:start w:w="120" w:type="dxa"/>
              <w:bottom w:w="100" w:type="dxa"/>
              <w:end w:w="120" w:type="dxa"/>
            </w:tcMar>
            <w:vAlign w:val="center"/>
          </w:tcPr>
          <w:p>
            <w:pPr>
              <w:jc w:val="center"/>
            </w:pPr>
            <w:r/>
            <w:r>
              <w:rPr>
                <w:rFonts w:ascii="Aptos" w:hAnsi="Aptos"/>
                <w:b/>
                <w:i w:val="0"/>
                <w:color w:val="FFFFFF"/>
                <w:sz w:val="15"/>
              </w:rPr>
              <w:t>Permitted use</w:t>
            </w:r>
          </w:p>
        </w:tc>
        <w:tc>
          <w:tcPr>
            <w:tcW w:type="dxa" w:w="2412"/>
            <w:shd w:fill="18324A"/>
            <w:tcMar>
              <w:top w:w="100" w:type="dxa"/>
              <w:start w:w="120" w:type="dxa"/>
              <w:bottom w:w="100" w:type="dxa"/>
              <w:end w:w="120" w:type="dxa"/>
            </w:tcMar>
            <w:vAlign w:val="center"/>
          </w:tcPr>
          <w:p>
            <w:pPr>
              <w:jc w:val="center"/>
            </w:pPr>
            <w:r/>
            <w:r>
              <w:rPr>
                <w:rFonts w:ascii="Aptos" w:hAnsi="Aptos"/>
                <w:b/>
                <w:i w:val="0"/>
                <w:color w:val="FFFFFF"/>
                <w:sz w:val="15"/>
              </w:rPr>
              <w:t>Key limitation</w:t>
            </w:r>
          </w:p>
        </w:tc>
      </w:tr>
      <w:tr>
        <w:tc>
          <w:tcPr>
            <w:tcW w:type="dxa" w:w="9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1</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Current India-approved package insert and CDSCO records</w:t>
            </w:r>
          </w:p>
        </w:tc>
        <w:tc>
          <w:tcPr>
            <w:tcW w:type="dxa" w:w="31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Local indication, dosing, warnings, legal prescribing content</w:t>
            </w:r>
          </w:p>
        </w:tc>
        <w:tc>
          <w:tcPr>
            <w:tcW w:type="dxa" w:w="23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Current package insert not yet available</w:t>
            </w:r>
          </w:p>
        </w:tc>
      </w:tr>
      <w:tr>
        <w:tc>
          <w:tcPr>
            <w:tcW w:type="dxa" w:w="9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2</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Regulator review reports and safety communications</w:t>
            </w:r>
          </w:p>
        </w:tc>
        <w:tc>
          <w:tcPr>
            <w:tcW w:type="dxa" w:w="31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Development reasoning, PK, safety signals, jurisdiction-specific context</w:t>
            </w:r>
          </w:p>
        </w:tc>
        <w:tc>
          <w:tcPr>
            <w:tcW w:type="dxa" w:w="23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May not reflect India label</w:t>
            </w:r>
          </w:p>
        </w:tc>
      </w:tr>
      <w:tr>
        <w:tc>
          <w:tcPr>
            <w:tcW w:type="dxa" w:w="9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3</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Randomized controlled clinical trials</w:t>
            </w:r>
          </w:p>
        </w:tc>
        <w:tc>
          <w:tcPr>
            <w:tcW w:type="dxa" w:w="31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Causal efficacy and comparative safety within studied conditions</w:t>
            </w:r>
          </w:p>
        </w:tc>
        <w:tc>
          <w:tcPr>
            <w:tcW w:type="dxa" w:w="23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May be short or population-specific</w:t>
            </w:r>
          </w:p>
        </w:tc>
      </w:tr>
      <w:tr>
        <w:tc>
          <w:tcPr>
            <w:tcW w:type="dxa" w:w="9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4</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Long-term extensions and observational studies</w:t>
            </w:r>
          </w:p>
        </w:tc>
        <w:tc>
          <w:tcPr>
            <w:tcW w:type="dxa" w:w="31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Durability, exposure, practice context, hypotheses</w:t>
            </w:r>
          </w:p>
        </w:tc>
        <w:tc>
          <w:tcPr>
            <w:tcW w:type="dxa" w:w="23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Confounding and weaker causal inference</w:t>
            </w:r>
          </w:p>
        </w:tc>
      </w:tr>
      <w:tr>
        <w:tc>
          <w:tcPr>
            <w:tcW w:type="dxa" w:w="9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5</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Systematic reviews and meta-analyses</w:t>
            </w:r>
          </w:p>
        </w:tc>
        <w:tc>
          <w:tcPr>
            <w:tcW w:type="dxa" w:w="31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Synthesis across eligible studies</w:t>
            </w:r>
          </w:p>
        </w:tc>
        <w:tc>
          <w:tcPr>
            <w:tcW w:type="dxa" w:w="23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Limited by included evidence and heterogeneity</w:t>
            </w:r>
          </w:p>
        </w:tc>
      </w:tr>
      <w:tr>
        <w:tc>
          <w:tcPr>
            <w:tcW w:type="dxa" w:w="9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6</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Mechanistic, biomarker, modeling, and preclinical evidence</w:t>
            </w:r>
          </w:p>
        </w:tc>
        <w:tc>
          <w:tcPr>
            <w:tcW w:type="dxa" w:w="31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Biological rationale and future research</w:t>
            </w:r>
          </w:p>
        </w:tc>
        <w:tc>
          <w:tcPr>
            <w:tcW w:type="dxa" w:w="23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Cannot establish patient-important clinical benefit</w:t>
            </w:r>
          </w:p>
        </w:tc>
      </w:tr>
    </w:tbl>
    <w:p>
      <w:pPr>
        <w:spacing w:after="40"/>
      </w:pPr>
    </w:p>
    <w:p>
      <w:r>
        <w:br w:type="page"/>
      </w:r>
    </w:p>
    <w:p>
      <w:pPr>
        <w:pStyle w:val="Heading1"/>
        <w:keepNext/>
      </w:pPr>
      <w:r>
        <w:rPr>
          <w:rFonts w:ascii="Aptos" w:hAnsi="Aptos"/>
          <w:b/>
          <w:i w:val="0"/>
          <w:color w:val="18324A"/>
          <w:sz w:val="32"/>
        </w:rPr>
        <w:t>Appendix: Detailed HCP Scientific Questions and Answers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Purpose</w:t>
            </w:r>
          </w:p>
          <w:p>
            <w:pPr>
              <w:spacing w:after="0" w:line="276" w:lineRule="auto"/>
            </w:pPr>
            <w:r>
              <w:rPr>
                <w:rFonts w:ascii="Aptos" w:hAnsi="Aptos"/>
                <w:b w:val="0"/>
                <w:i w:val="0"/>
                <w:color w:val="24313A"/>
                <w:sz w:val="19"/>
              </w:rPr>
              <w:t>These questions are designed to make the scientific evidence on trelagliptin easier to retrieve during medical review. They are not prescribing instructions or promotional rebuttals.</w:t>
            </w:r>
          </w:p>
        </w:tc>
      </w:tr>
    </w:tbl>
    <w:p>
      <w:pPr>
        <w:spacing w:after="40"/>
      </w:pPr>
    </w:p>
    <w:p>
      <w:pPr>
        <w:pStyle w:val="Heading2"/>
        <w:keepNext/>
      </w:pPr>
      <w:r>
        <w:rPr>
          <w:rFonts w:ascii="Aptos" w:hAnsi="Aptos"/>
          <w:b/>
          <w:i w:val="0"/>
          <w:color w:val="137C7B"/>
          <w:sz w:val="25"/>
        </w:rPr>
        <w:t>Q1. What is the most defensible one-sentence description of the product?</w:t>
      </w:r>
    </w:p>
    <w:p>
      <w:pPr>
        <w:spacing w:after="140" w:line="283" w:lineRule="auto"/>
      </w:pPr>
      <w:r>
        <w:rPr>
          <w:rFonts w:ascii="Aptos" w:hAnsi="Aptos"/>
          <w:b w:val="0"/>
          <w:i w:val="0"/>
          <w:color w:val="24313A"/>
          <w:sz w:val="21"/>
        </w:rPr>
        <w:t>Trelagliptin is a selective oral DPP-4 inhibitor whose sustained pharmacodynamic activity permits once-weekly administration for type 2 diabetes in approved settings. Its evidence base supports HbA1c lowering, while its defining practical feature is administration frequency rather than proven superiority or cardiorenal benefit.</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 What is the locally verified therapeutic role?</w:t>
      </w:r>
    </w:p>
    <w:p>
      <w:pPr>
        <w:spacing w:after="140" w:line="283" w:lineRule="auto"/>
      </w:pPr>
      <w:r>
        <w:rPr>
          <w:rFonts w:ascii="Aptos" w:hAnsi="Aptos"/>
          <w:b w:val="0"/>
          <w:i w:val="0"/>
          <w:color w:val="24313A"/>
          <w:sz w:val="21"/>
        </w:rPr>
        <w:t>An India approval listing identifies trelagliptin succinate tablets for treatment of type 2 diabetes, but the complete current India package insert remains required to define exact patient population, combination use, dosage, and restrictions. Japan regulatory information is useful scientific context and must remain jurisdiction-qualified.</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Q3. What is the molecule's principal scientific distinction?</w:t>
      </w:r>
    </w:p>
    <w:p>
      <w:pPr>
        <w:spacing w:after="140" w:line="283" w:lineRule="auto"/>
      </w:pPr>
      <w:r>
        <w:rPr>
          <w:rFonts w:ascii="Aptos" w:hAnsi="Aptos"/>
          <w:b w:val="0"/>
          <w:i w:val="0"/>
          <w:color w:val="24313A"/>
          <w:sz w:val="21"/>
        </w:rPr>
        <w:t>The principal scientific distinction is sustained DPP-4 inhibition across a seven-day interval. This enables a weekly oral schedule, but it also creates distinctive responsibilities around renal dose selection, missed doses, duplicate-dose prevention, switching, and persistence of pharmacological effects.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Q4. What is the strongest direct efficacy evidence?</w:t>
      </w:r>
    </w:p>
    <w:p>
      <w:pPr>
        <w:spacing w:after="140" w:line="283" w:lineRule="auto"/>
      </w:pPr>
      <w:r>
        <w:rPr>
          <w:rFonts w:ascii="Aptos" w:hAnsi="Aptos"/>
          <w:b w:val="0"/>
          <w:i w:val="0"/>
          <w:color w:val="24313A"/>
          <w:sz w:val="21"/>
        </w:rPr>
        <w:t>The strongest direct efficacy evidence includes the Japanese double-blind phase III comparison with daily alogliptin and the Indian active-controlled phase III comparison with twice-daily vildagliptin. Both reported non-inferiority for HbA1c change within their prespecified designs and durations.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Q5. What is the most important India-specific evidence?</w:t>
      </w:r>
    </w:p>
    <w:p>
      <w:pPr>
        <w:spacing w:after="140" w:line="283" w:lineRule="auto"/>
      </w:pPr>
      <w:r>
        <w:rPr>
          <w:rFonts w:ascii="Aptos" w:hAnsi="Aptos"/>
          <w:b w:val="0"/>
          <w:i w:val="0"/>
          <w:color w:val="24313A"/>
          <w:sz w:val="21"/>
        </w:rPr>
        <w:t>The Indian phase III study randomized 240 treatment-naive patients across 10 sites and compared trelagliptin 100 mg weekly with vildagliptin 50 mg twice daily for 16 weeks. The reported HbA1c changes were -0.89% and -1.00%, respectively, with a between-group difference of 0.11%.</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Q6. What is the most important international evidence?</w:t>
      </w:r>
    </w:p>
    <w:p>
      <w:pPr>
        <w:spacing w:after="140" w:line="283" w:lineRule="auto"/>
      </w:pPr>
      <w:r>
        <w:rPr>
          <w:rFonts w:ascii="Aptos" w:hAnsi="Aptos"/>
          <w:b w:val="0"/>
          <w:i w:val="0"/>
          <w:color w:val="24313A"/>
          <w:sz w:val="21"/>
        </w:rPr>
        <w:t>The Japanese programme includes dose-ranging, pivotal comparative, 52-week combination, insulin add-on, switching, severe renal impairment, and patient-reported-outcome studies. Together they characterize glycaemic efficacy and practical use, but they do not constitute a cardiovascular-outcomes programme.</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Q7. What is the most important safety issue?</w:t>
      </w:r>
    </w:p>
    <w:p>
      <w:pPr>
        <w:spacing w:after="140" w:line="283" w:lineRule="auto"/>
      </w:pPr>
      <w:r>
        <w:rPr>
          <w:rFonts w:ascii="Aptos" w:hAnsi="Aptos"/>
          <w:b w:val="0"/>
          <w:i w:val="0"/>
          <w:color w:val="24313A"/>
          <w:sz w:val="21"/>
        </w:rPr>
        <w:t>The safety discussion should emphasize hypoglycaemia when combined with insulin or secretagogues, renal-function-related exposure, weekly-dose medication errors, and applicable class or product warnings such as pancreatitis, hypersensitivity, bullous pemphigoid, and ileus. Exact India wording remains label-controlled.</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Q8. What is the most important monitoring issue?</w:t>
      </w:r>
    </w:p>
    <w:p>
      <w:pPr>
        <w:spacing w:after="140" w:line="283" w:lineRule="auto"/>
      </w:pPr>
      <w:r>
        <w:rPr>
          <w:rFonts w:ascii="Aptos" w:hAnsi="Aptos"/>
          <w:b w:val="0"/>
          <w:i w:val="0"/>
          <w:color w:val="24313A"/>
          <w:sz w:val="21"/>
        </w:rPr>
        <w:t>Renal function, glycaemic response, concomitant glucose-lowering therapy, hypoglycaemia, medication understanding, and the chosen weekly administration day are central monitoring considerations. The current local label must define the exact dosing and missed-dose pathway.</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Q9. What should never be claimed from the available evidence?</w:t>
      </w:r>
    </w:p>
    <w:p>
      <w:pPr>
        <w:spacing w:after="140" w:line="283" w:lineRule="auto"/>
      </w:pPr>
      <w:r>
        <w:rPr>
          <w:rFonts w:ascii="Aptos" w:hAnsi="Aptos"/>
          <w:b w:val="0"/>
          <w:i w:val="0"/>
          <w:color w:val="24313A"/>
          <w:sz w:val="21"/>
        </w:rPr>
        <w:t>The evidence does not support claims that trelagliptin is superior to other DPP-4 inhibitors, guarantees adherence, improves cardiovascular or kidney outcomes, reduces mortality, or is suitable for every patient with type 2 diabetes. Weekly administration is a fact, not an outcome claim.</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Q10. How should mechanism of action be explained to an HCP?</w:t>
      </w:r>
    </w:p>
    <w:p>
      <w:pPr>
        <w:spacing w:after="140" w:line="283" w:lineRule="auto"/>
      </w:pPr>
      <w:r>
        <w:rPr>
          <w:rFonts w:ascii="Aptos" w:hAnsi="Aptos"/>
          <w:b w:val="0"/>
          <w:i w:val="0"/>
          <w:color w:val="24313A"/>
          <w:sz w:val="21"/>
        </w:rPr>
        <w:t>DPP-4 inhibition prolongs endogenous incretin activity, supporting glucose-dependent insulin secretion and suppression of inappropriate glucagon secretion. The mechanism explains glycaemic action and generally low intrinsic hypoglycaemia propensity, but it does not prove organ protection or long-term clinical outcomes.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Q11. What does the pharmacokinetic profile mean clinically?</w:t>
      </w:r>
    </w:p>
    <w:p>
      <w:pPr>
        <w:spacing w:after="140" w:line="283" w:lineRule="auto"/>
      </w:pPr>
      <w:r>
        <w:rPr>
          <w:rFonts w:ascii="Aptos" w:hAnsi="Aptos"/>
          <w:b w:val="0"/>
          <w:i w:val="0"/>
          <w:color w:val="24313A"/>
          <w:sz w:val="21"/>
        </w:rPr>
        <w:t>Trelagliptin is absorbed relatively rapidly, undergoes limited metabolism, and is predominantly eliminated unchanged in urine. Exposure rises as renal function declines, making renal assessment and correct strength selection clinically important rather than merely pharmacokinetic details.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Q12. Which evidence is pivotal and which is supportive?</w:t>
      </w:r>
    </w:p>
    <w:p>
      <w:pPr>
        <w:spacing w:after="140" w:line="283" w:lineRule="auto"/>
      </w:pPr>
      <w:r>
        <w:rPr>
          <w:rFonts w:ascii="Aptos" w:hAnsi="Aptos"/>
          <w:b w:val="0"/>
          <w:i w:val="0"/>
          <w:color w:val="24313A"/>
          <w:sz w:val="21"/>
        </w:rPr>
        <w:t>Randomized pivotal trials should anchor efficacy claims. Long-term open-label, switching, satisfaction, biomarker, and modeling studies provide supportive context and should be clearly labelled according to their design and limitations.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Q13. How should comparative findings be communicated?</w:t>
      </w:r>
    </w:p>
    <w:p>
      <w:pPr>
        <w:spacing w:after="140" w:line="283" w:lineRule="auto"/>
      </w:pPr>
      <w:r>
        <w:rPr>
          <w:rFonts w:ascii="Aptos" w:hAnsi="Aptos"/>
          <w:b w:val="0"/>
          <w:i w:val="0"/>
          <w:color w:val="24313A"/>
          <w:sz w:val="21"/>
        </w:rPr>
        <w:t>Every comparison should retain population, comparator, dose, background therapy, duration, endpoint, effect estimate, confidence interval, and limitation. Non-inferiority to alogliptin or vildagliptin does not establish broad superiority, interchangeability, or outcome equivalence.</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Q14. What are the central limitations of the evidence base?</w:t>
      </w:r>
    </w:p>
    <w:p>
      <w:pPr>
        <w:spacing w:after="140" w:line="283" w:lineRule="auto"/>
      </w:pPr>
      <w:r>
        <w:rPr>
          <w:rFonts w:ascii="Aptos" w:hAnsi="Aptos"/>
          <w:b w:val="0"/>
          <w:i w:val="0"/>
          <w:color w:val="24313A"/>
          <w:sz w:val="21"/>
        </w:rPr>
        <w:t>Most pivotal data were generated in Japan, many trials were short, and hard clinical outcomes were not assessed. India evidence is important but currently limited, and the current complete India package insert and post-marketing evidence remain necessary.</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Q15. What is known about long-term use?</w:t>
      </w:r>
    </w:p>
    <w:p>
      <w:pPr>
        <w:spacing w:after="140" w:line="283" w:lineRule="auto"/>
      </w:pPr>
      <w:r>
        <w:rPr>
          <w:rFonts w:ascii="Aptos" w:hAnsi="Aptos"/>
          <w:b w:val="0"/>
          <w:i w:val="0"/>
          <w:color w:val="24313A"/>
          <w:sz w:val="21"/>
        </w:rPr>
        <w:t>A 52-week open-label study supports one-year treatment experience across monotherapy and combination settings. Because it lacked a concurrent control group, it supports descriptive durability and tolerability rather than comparative long-term superiority or outcome benefit.</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Q16. What is known about use in older adults?</w:t>
      </w:r>
    </w:p>
    <w:p>
      <w:pPr>
        <w:spacing w:after="140" w:line="283" w:lineRule="auto"/>
      </w:pPr>
      <w:r>
        <w:rPr>
          <w:rFonts w:ascii="Aptos" w:hAnsi="Aptos"/>
          <w:b w:val="0"/>
          <w:i w:val="0"/>
          <w:color w:val="24313A"/>
          <w:sz w:val="21"/>
        </w:rPr>
        <w:t>Older adults require individualized review of renal function, frailty, hypoglycaemia risk, cognitive capacity, polypharmacy, and caregiver support. Weekly dosing may simplify frequency while increasing the consequences of calendar confusion or an incorrect strength.</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Q17. What is known about renal impairment?</w:t>
      </w:r>
    </w:p>
    <w:p>
      <w:pPr>
        <w:spacing w:after="140" w:line="283" w:lineRule="auto"/>
      </w:pPr>
      <w:r>
        <w:rPr>
          <w:rFonts w:ascii="Aptos" w:hAnsi="Aptos"/>
          <w:b w:val="0"/>
          <w:i w:val="0"/>
          <w:color w:val="24313A"/>
          <w:sz w:val="21"/>
        </w:rPr>
        <w:t>Renal impairment increases exposure, and Japanese regulatory work plus a phase III study support reduced strengths in advanced impairment. The scientific rationale is strong, but exact India thresholds and doses must be reproduced from the current India-approved package insert.</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Q18. What is known about hepatic impairment?</w:t>
      </w:r>
    </w:p>
    <w:p>
      <w:pPr>
        <w:spacing w:after="140" w:line="283" w:lineRule="auto"/>
      </w:pPr>
      <w:r>
        <w:rPr>
          <w:rFonts w:ascii="Aptos" w:hAnsi="Aptos"/>
          <w:b w:val="0"/>
          <w:i w:val="0"/>
          <w:color w:val="24313A"/>
          <w:sz w:val="21"/>
        </w:rPr>
        <w:t>Available evidence suggests moderate hepatic impairment does not markedly alter exposure, consistent with limited hepatic metabolism. Severe hepatic impairment remains insufficiently characterized, and local approved guidance should control use.</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Q19. What is known about pregnancy and lactation?</w:t>
      </w:r>
    </w:p>
    <w:p>
      <w:pPr>
        <w:spacing w:after="140" w:line="283" w:lineRule="auto"/>
      </w:pPr>
      <w:r>
        <w:rPr>
          <w:rFonts w:ascii="Aptos" w:hAnsi="Aptos"/>
          <w:b w:val="0"/>
          <w:i w:val="0"/>
          <w:color w:val="24313A"/>
          <w:sz w:val="21"/>
        </w:rPr>
        <w:t>Adequate pregnancy and lactation evidence was not identified. The monograph should avoid reassuring language and should defer to the current approved label, clinical judgment, and the individual's benefit-risk context.</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Q20. What is known about pediatric use?</w:t>
      </w:r>
    </w:p>
    <w:p>
      <w:pPr>
        <w:spacing w:after="140" w:line="283" w:lineRule="auto"/>
      </w:pPr>
      <w:r>
        <w:rPr>
          <w:rFonts w:ascii="Aptos" w:hAnsi="Aptos"/>
          <w:b w:val="0"/>
          <w:i w:val="0"/>
          <w:color w:val="24313A"/>
          <w:sz w:val="21"/>
        </w:rPr>
        <w:t>A pediatric efficacy and safety programme adequate to support routine use was not identified. Pediatric use must not be inferred from adult pharmacology or DPP-4 class experience.</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Q21. How should concomitant therapy be reviewed?</w:t>
      </w:r>
    </w:p>
    <w:p>
      <w:pPr>
        <w:spacing w:after="140" w:line="283" w:lineRule="auto"/>
      </w:pPr>
      <w:r>
        <w:rPr>
          <w:rFonts w:ascii="Aptos" w:hAnsi="Aptos"/>
          <w:b w:val="0"/>
          <w:i w:val="0"/>
          <w:color w:val="24313A"/>
          <w:sz w:val="21"/>
        </w:rPr>
        <w:t>Medication reconciliation should identify insulin, sulfonylureas, other secretagogues, previous daily DPP-4 inhibitors, and therapies selected for cardiovascular, renal, or weight objectives. Duplicate DPP-4 inhibition and unintended overlap during switching should be prevented.</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Q22. How should a patient be selected?</w:t>
      </w:r>
    </w:p>
    <w:p>
      <w:pPr>
        <w:spacing w:after="140" w:line="283" w:lineRule="auto"/>
      </w:pPr>
      <w:r>
        <w:rPr>
          <w:rFonts w:ascii="Aptos" w:hAnsi="Aptos"/>
          <w:b w:val="0"/>
          <w:i w:val="0"/>
          <w:color w:val="24313A"/>
          <w:sz w:val="21"/>
        </w:rPr>
        <w:t>A suitable patient would be locally label-eligible, need DPP-4 inhibition for glycaemic management, have renal function assessed, and understand the weekly routine. The choice should align with comorbidities, treatment objectives, preferences, and alternative therapies.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Q23. Which patients may require another strategy?</w:t>
      </w:r>
    </w:p>
    <w:p>
      <w:pPr>
        <w:spacing w:after="140" w:line="283" w:lineRule="auto"/>
      </w:pPr>
      <w:r>
        <w:rPr>
          <w:rFonts w:ascii="Aptos" w:hAnsi="Aptos"/>
          <w:b w:val="0"/>
          <w:i w:val="0"/>
          <w:color w:val="24313A"/>
          <w:sz w:val="21"/>
        </w:rPr>
        <w:t>Another strategy may be more appropriate when cardiovascular disease, heart failure, chronic kidney disease, substantial weight reduction, acute metabolic decompensation, or inability to follow a weekly schedule dominates the decision. The monograph should make these boundaries visible.</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Q24. What should be assessed before treatment?</w:t>
      </w:r>
    </w:p>
    <w:p>
      <w:pPr>
        <w:spacing w:after="140" w:line="283" w:lineRule="auto"/>
      </w:pPr>
      <w:r>
        <w:rPr>
          <w:rFonts w:ascii="Aptos" w:hAnsi="Aptos"/>
          <w:b w:val="0"/>
          <w:i w:val="0"/>
          <w:color w:val="24313A"/>
          <w:sz w:val="21"/>
        </w:rPr>
        <w:t>Before initiation, confirm type 2 diabetes, the current India-approved indication, baseline glycaemia, renal function, concomitant medicines, hypoglycaemia risk, and the patient's ability to follow a weekly schedule. Document the selected weekly day and planned review.</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Q25. What should be reviewed after treatment begins?</w:t>
      </w:r>
    </w:p>
    <w:p>
      <w:pPr>
        <w:spacing w:after="140" w:line="283" w:lineRule="auto"/>
      </w:pPr>
      <w:r>
        <w:rPr>
          <w:rFonts w:ascii="Aptos" w:hAnsi="Aptos"/>
          <w:b w:val="0"/>
          <w:i w:val="0"/>
          <w:color w:val="24313A"/>
          <w:sz w:val="21"/>
        </w:rPr>
        <w:t>Review glycaemic response, tolerability, hypoglycaemia, renal function where appropriate, correct weekly use, and whether treatment priorities have changed. Lack of adequate response should prompt reassessment rather than an assumption that convenience equals effectiveness.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Q26. What should the patient be counselled about?</w:t>
      </w:r>
    </w:p>
    <w:p>
      <w:pPr>
        <w:spacing w:after="140" w:line="283" w:lineRule="auto"/>
      </w:pPr>
      <w:r>
        <w:rPr>
          <w:rFonts w:ascii="Aptos" w:hAnsi="Aptos"/>
          <w:b w:val="0"/>
          <w:i w:val="0"/>
          <w:color w:val="24313A"/>
          <w:sz w:val="21"/>
        </w:rPr>
        <w:t>Patients should understand the weekly administration day, label-approved missed-dose instructions, duplicate-dose prevention, signs requiring medical attention, and the continuing role of diet, activity, monitoring, and other prescribed medicines.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Q27. What does the evidence say about quality of life or convenience?</w:t>
      </w:r>
    </w:p>
    <w:p>
      <w:pPr>
        <w:spacing w:after="140" w:line="283" w:lineRule="auto"/>
      </w:pPr>
      <w:r>
        <w:rPr>
          <w:rFonts w:ascii="Aptos" w:hAnsi="Aptos"/>
          <w:b w:val="0"/>
          <w:i w:val="0"/>
          <w:color w:val="24313A"/>
          <w:sz w:val="21"/>
        </w:rPr>
        <w:t>Randomized open-label studies reported improvement in selected treatment-burden or quality-of-life domains, but results were not uniformly significant. These findings support individualized discussion and do not prove improved adherence or clinical outcomes.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Q28. Are hard clinical outcomes established?</w:t>
      </w:r>
    </w:p>
    <w:p>
      <w:pPr>
        <w:spacing w:after="140" w:line="283" w:lineRule="auto"/>
      </w:pPr>
      <w:r>
        <w:rPr>
          <w:rFonts w:ascii="Aptos" w:hAnsi="Aptos"/>
          <w:b w:val="0"/>
          <w:i w:val="0"/>
          <w:color w:val="24313A"/>
          <w:sz w:val="21"/>
        </w:rPr>
        <w:t>No dedicated evidence was identified showing reduction in cardiovascular events, kidney outcomes, hospitalization, mortality, or microvascular complications. The evidence-supported core outcome remains glycaemic control.</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Q29. How should statistically significant findings be interpreted?</w:t>
      </w:r>
    </w:p>
    <w:p>
      <w:pPr>
        <w:spacing w:after="140" w:line="283" w:lineRule="auto"/>
      </w:pPr>
      <w:r>
        <w:rPr>
          <w:rFonts w:ascii="Aptos" w:hAnsi="Aptos"/>
          <w:b w:val="0"/>
          <w:i w:val="0"/>
          <w:color w:val="24313A"/>
          <w:sz w:val="21"/>
        </w:rPr>
        <w:t>A p-value or non-inferiority conclusion must be read with the effect size, confidence interval, margin, missing-data method, and clinical context. Numerical results should not be simplified into unsupported adjectives.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Q30. How should neutral findings be presented?</w:t>
      </w:r>
    </w:p>
    <w:p>
      <w:pPr>
        <w:spacing w:after="140" w:line="283" w:lineRule="auto"/>
      </w:pPr>
      <w:r>
        <w:rPr>
          <w:rFonts w:ascii="Aptos" w:hAnsi="Aptos"/>
          <w:b w:val="0"/>
          <w:i w:val="0"/>
          <w:color w:val="24313A"/>
          <w:sz w:val="21"/>
        </w:rPr>
        <w:t>Neutral biomarker, vascular, weight, or treatment-satisfaction findings are part of the scientific story. Including them clarifies the product's demonstrated scope and prevents selective interpretation.</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Q31. What role does pharmacovigilance play?</w:t>
      </w:r>
    </w:p>
    <w:p>
      <w:pPr>
        <w:spacing w:after="140" w:line="283" w:lineRule="auto"/>
      </w:pPr>
      <w:r>
        <w:rPr>
          <w:rFonts w:ascii="Aptos" w:hAnsi="Aptos"/>
          <w:b w:val="0"/>
          <w:i w:val="0"/>
          <w:color w:val="24313A"/>
          <w:sz w:val="21"/>
        </w:rPr>
        <w:t>Pharmacovigilance should reconcile clinical-trial safety with current post-marketing information, regulator communications, medication-error reports, and sponsor safety data. Weekly exposure and renal impairment warrant particular attention.</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Q32. How should guideline context be discussed?</w:t>
      </w:r>
    </w:p>
    <w:p>
      <w:pPr>
        <w:spacing w:after="140" w:line="283" w:lineRule="auto"/>
      </w:pPr>
      <w:r>
        <w:rPr>
          <w:rFonts w:ascii="Aptos" w:hAnsi="Aptos"/>
          <w:b w:val="0"/>
          <w:i w:val="0"/>
          <w:color w:val="24313A"/>
          <w:sz w:val="21"/>
        </w:rPr>
        <w:t>Guidelines place DPP-4 inhibitors within individualized diabetes care but often prioritize other classes when proven cardiovascular, kidney, heart-failure, or weight benefits are required. Trelagliptin-specific placement should therefore remain outcome-aware and patient-specific.</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Q33. Can foreign-label information be used?</w:t>
      </w:r>
    </w:p>
    <w:p>
      <w:pPr>
        <w:spacing w:after="140" w:line="283" w:lineRule="auto"/>
      </w:pPr>
      <w:r>
        <w:rPr>
          <w:rFonts w:ascii="Aptos" w:hAnsi="Aptos"/>
          <w:b w:val="0"/>
          <w:i w:val="0"/>
          <w:color w:val="24313A"/>
          <w:sz w:val="21"/>
        </w:rPr>
        <w:t>Foreign-label information can support scientific understanding only when visibly identified by jurisdiction. It cannot define India-facing dosage, contraindications, warnings, or promotional claims.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Q34. What must be obtained before external use?</w:t>
      </w:r>
    </w:p>
    <w:p>
      <w:pPr>
        <w:spacing w:after="140" w:line="283" w:lineRule="auto"/>
      </w:pPr>
      <w:r>
        <w:rPr>
          <w:rFonts w:ascii="Aptos" w:hAnsi="Aptos"/>
          <w:b w:val="0"/>
          <w:i w:val="0"/>
          <w:color w:val="24313A"/>
          <w:sz w:val="21"/>
        </w:rPr>
        <w:t>Before external use, obtain the current India-approved package insert, sponsor product particulars, updated pharmacovigilance data, independently verified study numbers, complete claim-source matrix, rendered visual QA, and medical, regulatory, legal, and compliance approval.</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Q35. What should a reviewer verify in every study table?</w:t>
      </w:r>
    </w:p>
    <w:p>
      <w:pPr>
        <w:spacing w:after="140" w:line="283" w:lineRule="auto"/>
      </w:pPr>
      <w:r>
        <w:rPr>
          <w:rFonts w:ascii="Aptos" w:hAnsi="Aptos"/>
          <w:b w:val="0"/>
          <w:i w:val="0"/>
          <w:color w:val="24313A"/>
          <w:sz w:val="21"/>
        </w:rPr>
        <w:t>Reviewers should verify design, randomization, blinding, population, analysis set, dose, comparator, duration, endpoint hierarchy, statistical method, effect estimate, confidence interval, adverse events, funding, and limitations against the original source.</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r>
        <w:br w:type="page"/>
      </w:r>
    </w:p>
    <w:p>
      <w:pPr>
        <w:pStyle w:val="Heading2"/>
        <w:keepNext/>
      </w:pPr>
      <w:r>
        <w:rPr>
          <w:rFonts w:ascii="Aptos" w:hAnsi="Aptos"/>
          <w:b/>
          <w:i w:val="0"/>
          <w:color w:val="137C7B"/>
          <w:sz w:val="25"/>
        </w:rPr>
        <w:t>Q36. What future evidence would most improve confidence?</w:t>
      </w:r>
    </w:p>
    <w:p>
      <w:pPr>
        <w:spacing w:after="140" w:line="283" w:lineRule="auto"/>
      </w:pPr>
      <w:r>
        <w:rPr>
          <w:rFonts w:ascii="Aptos" w:hAnsi="Aptos"/>
          <w:b w:val="0"/>
          <w:i w:val="0"/>
          <w:color w:val="24313A"/>
          <w:sz w:val="21"/>
        </w:rPr>
        <w:t>The most useful future evidence would include long-term India real-world safety, medication-error and persistence studies, broader post-marketing surveillance, and outcome-focused research in clinically relevant populations.</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Q37. How should new evidence be added to the monograph?</w:t>
      </w:r>
    </w:p>
    <w:p>
      <w:pPr>
        <w:spacing w:after="140" w:line="283" w:lineRule="auto"/>
      </w:pPr>
      <w:r>
        <w:rPr>
          <w:rFonts w:ascii="Aptos" w:hAnsi="Aptos"/>
          <w:b w:val="0"/>
          <w:i w:val="0"/>
          <w:color w:val="24313A"/>
          <w:sz w:val="21"/>
        </w:rPr>
        <w:t>New evidence should enter through a documented update search, source verification, claim-impact assessment, pharmacovigilance review, and controlled approval. Prior wording should remain traceable rather than being silently overwritten.</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pPr>
        <w:pStyle w:val="Heading2"/>
        <w:keepNext/>
      </w:pPr>
      <w:r>
        <w:rPr>
          <w:rFonts w:ascii="Aptos" w:hAnsi="Aptos"/>
          <w:b/>
          <w:i w:val="0"/>
          <w:color w:val="137C7B"/>
          <w:sz w:val="25"/>
        </w:rPr>
        <w:t>Q38. What is the correct conclusion for a busy HCP?</w:t>
      </w:r>
    </w:p>
    <w:p>
      <w:pPr>
        <w:spacing w:after="140" w:line="283" w:lineRule="auto"/>
      </w:pPr>
      <w:r>
        <w:rPr>
          <w:rFonts w:ascii="Aptos" w:hAnsi="Aptos"/>
          <w:b w:val="0"/>
          <w:i w:val="0"/>
          <w:color w:val="24313A"/>
          <w:sz w:val="21"/>
        </w:rPr>
        <w:t>Trelagliptin provides sustained weekly DPP-4 inhibition and evidence-supported glycaemic efficacy comparable with selected daily DPP-4 inhibitors under studied conditions. Its weekly schedule can be clinically relevant, but outcome superiority and universal adherence benefit remain unestablished.</w:t>
      </w:r>
    </w:p>
    <w:p>
      <w:pPr>
        <w:spacing w:after="180" w:line="283" w:lineRule="auto"/>
      </w:pPr>
      <w:r>
        <w:rPr>
          <w:rFonts w:ascii="Aptos" w:hAnsi="Aptos"/>
          <w:b w:val="0"/>
          <w:i w:val="0"/>
          <w:color w:val="5D6A73"/>
          <w:sz w:val="21"/>
        </w:rPr>
        <w:t>Control boundary: This answer summarizes the current evidence cut-off for trelagliptin. It must be reconciled with the current India-approved package insert and reviewed for the intended use before distribution.</w:t>
      </w:r>
    </w:p>
    <w:p>
      <w:r>
        <w:br w:type="page"/>
      </w:r>
    </w:p>
    <w:p>
      <w:pPr>
        <w:pStyle w:val="Heading1"/>
        <w:keepNext/>
      </w:pPr>
      <w:r>
        <w:rPr>
          <w:rFonts w:ascii="Aptos" w:hAnsi="Aptos"/>
          <w:b/>
          <w:i w:val="0"/>
          <w:color w:val="18324A"/>
          <w:sz w:val="32"/>
        </w:rPr>
        <w:t>Appendix: Scientific and Clinical Interpretation Glossary</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Purpose</w:t>
            </w:r>
          </w:p>
          <w:p>
            <w:pPr>
              <w:spacing w:after="0" w:line="276" w:lineRule="auto"/>
            </w:pPr>
            <w:r>
              <w:rPr>
                <w:rFonts w:ascii="Aptos" w:hAnsi="Aptos"/>
                <w:b w:val="0"/>
                <w:i w:val="0"/>
                <w:color w:val="24313A"/>
                <w:sz w:val="19"/>
              </w:rPr>
              <w:t>This glossary standardizes the language used to interpret the trelagliptin evidence base. It is intended to prevent important statistical, regulatory, and clinical terms from being used loosely.</w:t>
            </w:r>
          </w:p>
        </w:tc>
      </w:tr>
    </w:tbl>
    <w:p>
      <w:pPr>
        <w:spacing w:after="40"/>
      </w:pPr>
    </w:p>
    <w:tbl>
      <w:tblPr>
        <w:tblStyle w:val="TableGrid"/>
        <w:tblW w:type="auto" w:w="0"/>
        <w:jc w:val="center"/>
        <w:tblLayout w:type="fixed"/>
        <w:tblLook w:firstColumn="1" w:firstRow="1" w:lastColumn="0" w:lastRow="0" w:noHBand="0" w:noVBand="1" w:val="04A0"/>
      </w:tblPr>
      <w:tblGrid>
        <w:gridCol w:w="2232"/>
        <w:gridCol w:w="6768"/>
      </w:tblGrid>
      <w:tr>
        <w:trPr>
          <w:tblHeader w:val="true"/>
        </w:trPr>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5"/>
              </w:rPr>
              <w:t>Term</w:t>
            </w:r>
          </w:p>
        </w:tc>
        <w:tc>
          <w:tcPr>
            <w:tcW w:type="dxa" w:w="4824"/>
            <w:shd w:fill="137C7B"/>
            <w:tcMar>
              <w:top w:w="100" w:type="dxa"/>
              <w:start w:w="120" w:type="dxa"/>
              <w:bottom w:w="100" w:type="dxa"/>
              <w:end w:w="120" w:type="dxa"/>
            </w:tcMar>
            <w:vAlign w:val="center"/>
          </w:tcPr>
          <w:p>
            <w:pPr>
              <w:jc w:val="center"/>
            </w:pPr>
            <w:r/>
            <w:r>
              <w:rPr>
                <w:rFonts w:ascii="Aptos" w:hAnsi="Aptos"/>
                <w:b/>
                <w:i w:val="0"/>
                <w:color w:val="FFFFFF"/>
                <w:sz w:val="15"/>
              </w:rPr>
              <w:t>Working definition and interpretation control</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Absolute effect</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The observed difference expressed in the original measurement unit, such as percentage-point HbA1c change, liters per second of peak flow, or number of patients with an event. Absolute effects are often more clinically interpretable than relative descriptions.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Active-controlled trial</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study comparing an investigational or study medicine with another active medicine. It can answer comparative questions but must be interpreted according to design, comparator dose, background therapy, endpoint, and statistical objective.</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Add-on therapy</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treatment used in addition to an existing regimen rather than as a replacement. The term does not mean the background therapy can be stopped, reduced, or ignored unless the approved label and evidence specifically support that action.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Adverse event</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Any unfavorable medical occurrence after treatment, regardless of whether it is considered caused by the medicine. Adverse-event frequency alone does not establish causality, and comparison requires similar ascertainment and exposure.</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Adverse drug reaction</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An adverse event for which a causal relationship to the medicine is considered at least reasonably possible under the applicable assessment framework. Regulatory definitions and frequency categories should be followed precisely.</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Analysis population</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group of randomized or treated participants included in a statistical analysis, such as intention-to-treat, modified intention-to-treat, per-protocol, or safety populations. Different populations can produce different estimates.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Assay sensitivity</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The ability of a trial to distinguish an effective treatment from a less effective or ineffective one. It is especially important in non-inferiority studies because an insensitive trial can make treatments appear similar.</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Background therapy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Treatment continued by participants while the study medicine or comparator is added. Background therapy shapes applicability, treatment effect, and safety, and must be stated when interpreting add-on studies.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Bias</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systematic influence that can distort a study result. Open-label treatment, selective reporting, loss to follow-up, inadequate randomization, unblinded assessment, and post-hoc analysis are common sources requiring consideration.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Clinical significance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practical importance of an observed effect to patients and clinicians. Clinical significance depends on effect magnitude, endpoint importance, duration, burden, safety, and alternatives, not only on statistical significance.</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Confidence interval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range expressing uncertainty around an estimated treatment effect. The interval helps assess precision and, in superiority or non-inferiority studies, whether the result crosses clinically or statistically important boundaries.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Controlled claim</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statement whose exact wording, evidence source, label status, limitations, fair-balance text, review disposition, and intended use are recorded. A controlled claim is not automatically approved for promotion.</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Effect modifier</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patient or study characteristic associated with different treatment effects across subgroups. Apparent effect modification requires careful interpretation and preferably prespecified, adequately powered analysis.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Evidence cut-off</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date through which the evidence search and safety review are considered current. New studies, regulatory changes, corrections, or safety signals after this date require an update assessment.</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Exploratory endpoint</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An endpoint intended mainly to generate hypotheses rather than support definitive conclusions. Exploratory findings are useful for research planning but should not be presented with the certainty of a prespecified primary endpoint.</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External validity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extent to which a study result can be applied beyond the studied participants, sites, treatment context, and duration. Geography, disease severity, background treatment, and eligibility criteria strongly influence generalizability.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Fair balance</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Presentation of benefit, risk, limitations, uncertainty, and alternatives with appropriate prominence and proximity. Fair balance is a scientific and compliance requirement, not merely a formatting exercise.</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Hard clinical outcome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patient-important event such as death, hospitalization, severe exacerbation, kidney failure, or cardiovascular event. A surrogate or biomarker may correlate with risk but does not automatically prove improvement in hard outcomes.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Hazard or safety signal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Information suggesting a new or incompletely characterized possible causal association between a medicine and an event. Signals require evaluation and do not always establish causality or incidence.</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Intention-to-treat</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 analysis principle that generally includes randomized participants according to assigned treatment. It preserves randomization benefits, although handling of missing data and protocol deviations still matters.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Jurisdiction-specific label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The approved prescribing information applicable in a particular country or region. Indications, doses, contraindications, warnings, and legal requirements can differ between jurisdictions and must not be blended.</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Mechanistic plausibility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biologically reasonable explanation for how a medicine might produce an effect. Plausibility supports research and interpretation but cannot replace direct clinical evidence of benefit or safety.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Meta-analysis</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statistical synthesis of results from multiple studies. Its validity depends on the quality, similarity, completeness, and reporting of included studies; pooled precision cannot correct biased or weak primary evidence.</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Missing-data method</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statistical approach used when outcome data are unavailable. Attrition and the chosen method can influence results, particularly in non-inferiority trials and studies with substantial discontinuation.</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Non-inferiority</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conclusion that a new treatment is not worse than an active comparator by more than a prespecified acceptable margin for a defined endpoint. It does not establish superiority or equality for all outcomes.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Open-label study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study in which participants and investigators know the assigned treatment. Open-label designs can be appropriate but are more vulnerable to expectation and assessment bias, especially for subjective outcomes.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Patient-reported outcome</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measure reported directly by a patient, such as symptoms, treatment satisfaction, or quality of life. Validated instruments, blinding, missing data, and clinical meaning should be considered.</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Per-protocol analysis</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An analysis focused on participants who sufficiently followed the protocol. It can be important in non-inferiority assessment but may introduce bias because treatment adherence and exclusions are not random.</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Pharmacodynamics</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What the medicine does to the body, target, pathway, biomarker, or physiological response. Pharmacodynamic activity can support dosing rationale but is not always equivalent to clinical benefit.</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Pharmacokinetics</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What the body does to the medicine through absorption, distribution, metabolism, and excretion. PK becomes clinically meaningful when connected to dose, timing, interactions, organ impairment, and safety.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Post-marketing evidence</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Safety or effectiveness information generated after approval through surveillance, reports, studies, or real-world data. It can identify uncommon risks and broader-use patterns not captured in trials.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Primary endpoint</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main outcome prespecified to answer a trial's central question. Interpretation should consider the statistical plan, effect size, confidence interval, missing data, and whether the endpoint is clinically important.</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Randomized controlled trial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study assigning participants to interventions by a random process. Proper randomization reduces confounding, but trial credibility also depends on allocation concealment, blinding, conduct, analysis, and reporting.</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Real-world evidence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Clinical evidence derived from routine-care data sources. It can improve generalizability and safety understanding but is vulnerable to confounding, measurement error, selection, and incomplete data.</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Responder analysis</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An analysis classifying participants according to a response threshold. Threshold justification, missing-data handling, baseline risk, and absolute responder numbers are needed for meaningful interpretation.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Statistical significance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finding unlikely under a specified null hypothesis at a chosen threshold. It does not measure effect size, clinical importance, study quality, or the probability that a claim is true.</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Surrogate endpoint</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laboratory, biomarker, or intermediate outcome used in place of a direct patient-important outcome. Surrogates can support efficacy assessment but may not reliably predict clinical benefit in every setting.</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Systematic review</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A structured evidence synthesis using a prespecified question, search, eligibility criteria, appraisal, and transparent methods. A broad literature search is valuable but should not be called systematic unless those standards are met.</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Treatment-emergent adverse event</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An event beginning or worsening after treatment exposure under a study definition. Frequency comparisons require attention to exposure duration, ascertainment, baseline events, and analysis population.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Uncertainty</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range of plausible interpretations remaining because of sampling variation, bias, limited duration, missing evidence, or generalizability concerns. A trustworthy monograph states uncertainty explicitly.</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DPP-4 inhibition</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Pharmacological inhibition of dipeptidyl peptidase-4, reducing degradation of endogenous incretin hormones. For trelagliptin, sustained inhibition supports weekly administration but does not itself establish long-term clinical outcomes.</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Incretin effect</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greater insulin response to oral glucose than intravenous glucose, mediated partly by GLP-1 and GIP. DPP-4 inhibitors enhance endogenous incretin activity in a glucose-dependent manner.</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Weekly dosing interval</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A seven-day administration interval supported by the molecule's pharmacodynamic profile. It requires precise medication reconciliation, renal-dose selection, missed-dose instructions, and duplicate-dose prevention.</w:t>
            </w:r>
          </w:p>
        </w:tc>
      </w:tr>
      <w:tr>
        <w:tc>
          <w:tcPr>
            <w:tcW w:type="dxa" w:w="223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Renal exposure increase</w:t>
            </w:r>
          </w:p>
        </w:tc>
        <w:tc>
          <w:tcPr>
            <w:tcW w:type="dxa" w:w="676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5"/>
              </w:rPr>
              <w:t>The progressive rise in systemic exposure as renal function declines because trelagliptin is predominantly renally eliminated. It is the scientific basis for jurisdiction-specific reduced-dose strategies.</w:t>
            </w:r>
          </w:p>
        </w:tc>
      </w:tr>
      <w:tr>
        <w:tc>
          <w:tcPr>
            <w:tcW w:type="dxa" w:w="223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Glycaemic efficacy</w:t>
            </w:r>
          </w:p>
        </w:tc>
        <w:tc>
          <w:tcPr>
            <w:tcW w:type="dxa" w:w="676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5"/>
              </w:rPr>
              <w:t>Improvement in measures such as HbA1c, fasting glucose, or postprandial glucose. Glycaemic efficacy should not be equated with proven cardiovascular, renal, mortality, or microvascular benefit.</w:t>
            </w:r>
          </w:p>
        </w:tc>
      </w:tr>
    </w:tbl>
    <w:p>
      <w:pPr>
        <w:spacing w:after="40"/>
      </w:pPr>
    </w:p>
    <w:p>
      <w:r>
        <w:br w:type="page"/>
      </w:r>
    </w:p>
    <w:p>
      <w:pPr>
        <w:pStyle w:val="Heading1"/>
        <w:keepNext/>
      </w:pPr>
      <w:r>
        <w:rPr>
          <w:rFonts w:ascii="Aptos" w:hAnsi="Aptos"/>
          <w:b/>
          <w:i w:val="0"/>
          <w:color w:val="18324A"/>
          <w:sz w:val="32"/>
        </w:rPr>
        <w:t>Appendix: Fifteen Clinical Review Lenses</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How to use these lenses</w:t>
            </w:r>
          </w:p>
          <w:p>
            <w:pPr>
              <w:spacing w:after="0" w:line="276" w:lineRule="auto"/>
            </w:pPr>
            <w:r>
              <w:rPr>
                <w:rFonts w:ascii="Aptos" w:hAnsi="Aptos"/>
                <w:b w:val="0"/>
                <w:i w:val="0"/>
                <w:color w:val="24313A"/>
                <w:sz w:val="19"/>
              </w:rPr>
              <w:t>Before using any statement from this monograph, reviewers should examine the trelagliptin evidence through each lens below. Together they protect against attractive but incomplete interpretation.</w:t>
            </w:r>
          </w:p>
        </w:tc>
      </w:tr>
    </w:tbl>
    <w:p>
      <w:pPr>
        <w:spacing w:after="40"/>
      </w:pPr>
    </w:p>
    <w:p>
      <w:pPr>
        <w:pStyle w:val="Heading2"/>
        <w:keepNext/>
      </w:pPr>
      <w:r>
        <w:rPr>
          <w:rFonts w:ascii="Aptos" w:hAnsi="Aptos"/>
          <w:b/>
          <w:i w:val="0"/>
          <w:color w:val="137C7B"/>
          <w:sz w:val="25"/>
        </w:rPr>
        <w:t>1. Patient lens</w:t>
      </w:r>
    </w:p>
    <w:p>
      <w:pPr>
        <w:spacing w:after="140" w:line="283" w:lineRule="auto"/>
      </w:pPr>
      <w:r>
        <w:rPr>
          <w:rFonts w:ascii="Aptos" w:hAnsi="Aptos"/>
          <w:b w:val="0"/>
          <w:i w:val="0"/>
          <w:color w:val="24313A"/>
          <w:sz w:val="21"/>
        </w:rPr>
        <w:t>Is the patient in front of the clinician meaningfully similar to the studied population, including disease severity, age, organ function, background therapy, and treatment objective? If not, the uncertainty should be stated rather than hidden.</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2. Endpoint lens</w:t>
      </w:r>
    </w:p>
    <w:p>
      <w:pPr>
        <w:spacing w:after="140" w:line="283" w:lineRule="auto"/>
      </w:pPr>
      <w:r>
        <w:rPr>
          <w:rFonts w:ascii="Aptos" w:hAnsi="Aptos"/>
          <w:b w:val="0"/>
          <w:i w:val="0"/>
          <w:color w:val="24313A"/>
          <w:sz w:val="21"/>
        </w:rPr>
        <w:t>Does the study measure a direct patient-important outcome, a validated clinical outcome, a symptom scale, a physiological measure, or an exploratory biomarker? The wording should become more cautious as the endpoint becomes more indirect.</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3. Comparator lens</w:t>
      </w:r>
    </w:p>
    <w:p>
      <w:pPr>
        <w:spacing w:after="140" w:line="283" w:lineRule="auto"/>
      </w:pPr>
      <w:r>
        <w:rPr>
          <w:rFonts w:ascii="Aptos" w:hAnsi="Aptos"/>
          <w:b w:val="0"/>
          <w:i w:val="0"/>
          <w:color w:val="24313A"/>
          <w:sz w:val="21"/>
        </w:rPr>
        <w:t>Was the comparator appropriate, correctly dosed, and relevant to current practice? A favorable result against one comparator does not establish superiority to all alternatives or to the current standard of care.</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4. Duration lens</w:t>
      </w:r>
    </w:p>
    <w:p>
      <w:pPr>
        <w:spacing w:after="140" w:line="283" w:lineRule="auto"/>
      </w:pPr>
      <w:r>
        <w:rPr>
          <w:rFonts w:ascii="Aptos" w:hAnsi="Aptos"/>
          <w:b w:val="0"/>
          <w:i w:val="0"/>
          <w:color w:val="24313A"/>
          <w:sz w:val="21"/>
        </w:rPr>
        <w:t>Was follow-up long enough to assess the intended benefit and important harms? Short studies can characterize early efficacy but usually cannot establish durability, uncommon safety events, or long-term clinical outcomes.</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5. Magnitude lens</w:t>
      </w:r>
    </w:p>
    <w:p>
      <w:pPr>
        <w:spacing w:after="140" w:line="283" w:lineRule="auto"/>
      </w:pPr>
      <w:r>
        <w:rPr>
          <w:rFonts w:ascii="Aptos" w:hAnsi="Aptos"/>
          <w:b w:val="0"/>
          <w:i w:val="0"/>
          <w:color w:val="24313A"/>
          <w:sz w:val="21"/>
        </w:rPr>
        <w:t>How large is the observed effect in absolute and clinically understandable terms? A small difference can be statistically convincing but of limited practical importance, while a meaningful effect can remain imprecise in a small study.</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6. Precision lens</w:t>
      </w:r>
    </w:p>
    <w:p>
      <w:pPr>
        <w:spacing w:after="140" w:line="283" w:lineRule="auto"/>
      </w:pPr>
      <w:r>
        <w:rPr>
          <w:rFonts w:ascii="Aptos" w:hAnsi="Aptos"/>
          <w:b w:val="0"/>
          <w:i w:val="0"/>
          <w:color w:val="24313A"/>
          <w:sz w:val="21"/>
        </w:rPr>
        <w:t>How wide is the confidence interval, and what clinically important effects remain compatible with it? Precision should influence the certainty of conclusions and the prominence of limitations.</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7. Design lens</w:t>
      </w:r>
    </w:p>
    <w:p>
      <w:pPr>
        <w:spacing w:after="140" w:line="283" w:lineRule="auto"/>
      </w:pPr>
      <w:r>
        <w:rPr>
          <w:rFonts w:ascii="Aptos" w:hAnsi="Aptos"/>
          <w:b w:val="0"/>
          <w:i w:val="0"/>
          <w:color w:val="24313A"/>
          <w:sz w:val="21"/>
        </w:rPr>
        <w:t>Was the study randomized, blinded, controlled, and prospectively analyzed? Design strengths increase confidence, while open-label, uncontrolled, retrospective, or post-hoc findings require explicit restraint.</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8. Missing-data lens</w:t>
      </w:r>
    </w:p>
    <w:p>
      <w:pPr>
        <w:spacing w:after="140" w:line="283" w:lineRule="auto"/>
      </w:pPr>
      <w:r>
        <w:rPr>
          <w:rFonts w:ascii="Aptos" w:hAnsi="Aptos"/>
          <w:b w:val="0"/>
          <w:i w:val="0"/>
          <w:color w:val="24313A"/>
          <w:sz w:val="21"/>
        </w:rPr>
        <w:t>How many participants discontinued or lacked outcome data, why were data missing, and how were they handled? Missing data can materially alter both superiority and non-inferiority conclusions.</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9. Safety lens</w:t>
      </w:r>
    </w:p>
    <w:p>
      <w:pPr>
        <w:spacing w:after="140" w:line="283" w:lineRule="auto"/>
      </w:pPr>
      <w:r>
        <w:rPr>
          <w:rFonts w:ascii="Aptos" w:hAnsi="Aptos"/>
          <w:b w:val="0"/>
          <w:i w:val="0"/>
          <w:color w:val="24313A"/>
          <w:sz w:val="21"/>
        </w:rPr>
        <w:t>Were adverse events actively collected, were exposure times comparable, and was the sample large enough to identify uncommon risks? Safety conclusions should integrate trials with post-marketing and regulator evidence.</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10. Jurisdiction lens</w:t>
      </w:r>
    </w:p>
    <w:p>
      <w:pPr>
        <w:spacing w:after="140" w:line="283" w:lineRule="auto"/>
      </w:pPr>
      <w:r>
        <w:rPr>
          <w:rFonts w:ascii="Aptos" w:hAnsi="Aptos"/>
          <w:b w:val="0"/>
          <w:i w:val="0"/>
          <w:color w:val="24313A"/>
          <w:sz w:val="21"/>
        </w:rPr>
        <w:t>Is the statement a scientific finding, a foreign-label fact, or a current India-approved prescribing statement? These categories must remain visibly separate in wording, layout, review, and intended use.</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11. Guideline lens</w:t>
      </w:r>
    </w:p>
    <w:p>
      <w:pPr>
        <w:spacing w:after="140" w:line="283" w:lineRule="auto"/>
      </w:pPr>
      <w:r>
        <w:rPr>
          <w:rFonts w:ascii="Aptos" w:hAnsi="Aptos"/>
          <w:b w:val="0"/>
          <w:i w:val="0"/>
          <w:color w:val="24313A"/>
          <w:sz w:val="21"/>
        </w:rPr>
        <w:t>How does the medicine's demonstrated evidence fit with current treatment priorities and recommended pathways? Local approval permits use but does not automatically establish guideline preference or broad treatment priority.</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12. Alternative-therapy lens</w:t>
      </w:r>
    </w:p>
    <w:p>
      <w:pPr>
        <w:spacing w:after="140" w:line="283" w:lineRule="auto"/>
      </w:pPr>
      <w:r>
        <w:rPr>
          <w:rFonts w:ascii="Aptos" w:hAnsi="Aptos"/>
          <w:b w:val="0"/>
          <w:i w:val="0"/>
          <w:color w:val="24313A"/>
          <w:sz w:val="21"/>
        </w:rPr>
        <w:t>What other therapies address the same clinical problem, and which outcomes have they demonstrated? Balanced selection considers what the patient may gain or forgo with each option.</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13. Practical-use lens</w:t>
      </w:r>
    </w:p>
    <w:p>
      <w:pPr>
        <w:spacing w:after="140" w:line="283" w:lineRule="auto"/>
      </w:pPr>
      <w:r>
        <w:rPr>
          <w:rFonts w:ascii="Aptos" w:hAnsi="Aptos"/>
          <w:b w:val="0"/>
          <w:i w:val="0"/>
          <w:color w:val="24313A"/>
          <w:sz w:val="21"/>
        </w:rPr>
        <w:t>Can the regimen be administered, monitored, understood, and sustained safely in the actual care setting? Convenience, complexity, caregiver support, medication errors, and monitoring burden all influence real clinical value.</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14. Conflict and transparency lens</w:t>
      </w:r>
    </w:p>
    <w:p>
      <w:pPr>
        <w:spacing w:after="140" w:line="283" w:lineRule="auto"/>
      </w:pPr>
      <w:r>
        <w:rPr>
          <w:rFonts w:ascii="Aptos" w:hAnsi="Aptos"/>
          <w:b w:val="0"/>
          <w:i w:val="0"/>
          <w:color w:val="24313A"/>
          <w:sz w:val="21"/>
        </w:rPr>
        <w:t>Who funded, designed, conducted, analyzed, and published the study? Sponsorship does not invalidate evidence, but transparent disclosure and independent verification strengthen trust.</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pPr>
        <w:pStyle w:val="Heading2"/>
        <w:keepNext/>
      </w:pPr>
      <w:r>
        <w:rPr>
          <w:rFonts w:ascii="Aptos" w:hAnsi="Aptos"/>
          <w:b/>
          <w:i w:val="0"/>
          <w:color w:val="137C7B"/>
          <w:sz w:val="25"/>
        </w:rPr>
        <w:t>15. Update lens</w:t>
      </w:r>
    </w:p>
    <w:p>
      <w:pPr>
        <w:spacing w:after="140" w:line="283" w:lineRule="auto"/>
      </w:pPr>
      <w:r>
        <w:rPr>
          <w:rFonts w:ascii="Aptos" w:hAnsi="Aptos"/>
          <w:b w:val="0"/>
          <w:i w:val="0"/>
          <w:color w:val="24313A"/>
          <w:sz w:val="21"/>
        </w:rPr>
        <w:t>Could new safety information, label revisions, guidelines, or studies have changed the conclusion since the evidence cut-off? The most polished monograph becomes unreliable if it is not actively maintained.</w:t>
      </w:r>
    </w:p>
    <w:p>
      <w:pPr>
        <w:spacing w:after="140" w:line="283" w:lineRule="auto"/>
      </w:pPr>
      <w:r>
        <w:rPr>
          <w:rFonts w:ascii="Aptos" w:hAnsi="Aptos"/>
          <w:b w:val="0"/>
          <w:i w:val="0"/>
          <w:color w:val="5D6A73"/>
          <w:sz w:val="21"/>
        </w:rPr>
        <w:t>Application to trelagliptin: record the reviewer's conclusion and any required wording change in the claim-source matrix before approval.</w:t>
      </w:r>
    </w:p>
    <w:p>
      <w:r>
        <w:br w:type="page"/>
      </w:r>
    </w:p>
    <w:p>
      <w:pPr>
        <w:pStyle w:val="Heading1"/>
        <w:keepNext/>
      </w:pPr>
      <w:r>
        <w:rPr>
          <w:rFonts w:ascii="Aptos" w:hAnsi="Aptos"/>
          <w:b/>
          <w:i w:val="0"/>
          <w:color w:val="18324A"/>
          <w:sz w:val="32"/>
        </w:rPr>
        <w:t>Part 2: India Prescribing Information - Controlled Placeholder</w:t>
      </w:r>
    </w:p>
    <w:tbl>
      <w:tblPr>
        <w:tblW w:type="auto" w:w="0"/>
        <w:jc w:val="center"/>
        <w:tblLayout w:type="fixed"/>
        <w:tblLook w:firstColumn="1" w:firstRow="1" w:lastColumn="0" w:lastRow="0" w:noHBand="0" w:noVBand="1" w:val="04A0"/>
      </w:tblPr>
      <w:tblGrid>
        <w:gridCol w:w="9000"/>
      </w:tblGrid>
      <w:tr>
        <w:tc>
          <w:tcPr>
            <w:tcW w:type="dxa" w:w="9648"/>
            <w:shd w:fill="F4E6B9"/>
            <w:tcMar>
              <w:top w:w="160" w:type="dxa"/>
              <w:start w:w="180" w:type="dxa"/>
              <w:bottom w:w="160" w:type="dxa"/>
              <w:end w:w="180" w:type="dxa"/>
            </w:tcMar>
          </w:tcPr>
          <w:p>
            <w:pPr>
              <w:spacing w:after="80"/>
            </w:pPr>
            <w:r>
              <w:rPr>
                <w:rFonts w:ascii="Aptos" w:hAnsi="Aptos"/>
                <w:b/>
                <w:i w:val="0"/>
                <w:color w:val="9A553A"/>
                <w:sz w:val="21"/>
              </w:rPr>
              <w:t>Release blocker</w:t>
            </w:r>
          </w:p>
          <w:p>
            <w:pPr>
              <w:spacing w:after="0" w:line="276" w:lineRule="auto"/>
            </w:pPr>
            <w:r>
              <w:rPr>
                <w:rFonts w:ascii="Aptos" w:hAnsi="Aptos"/>
                <w:b w:val="0"/>
                <w:i w:val="0"/>
                <w:color w:val="24313A"/>
                <w:sz w:val="19"/>
              </w:rPr>
              <w:t>The current authority-approved India package insert for trelagliptin was not supplied or retrieved in a form suitable for verbatim incorporation. No reconstructed or inferred prescribing information is presented as authoritative.</w:t>
            </w:r>
          </w:p>
        </w:tc>
      </w:tr>
    </w:tbl>
    <w:p>
      <w:pPr>
        <w:spacing w:after="40"/>
      </w:pPr>
    </w:p>
    <w:p>
      <w:pPr>
        <w:pStyle w:val="Heading2"/>
        <w:keepNext/>
      </w:pPr>
      <w:r>
        <w:rPr>
          <w:rFonts w:ascii="Aptos" w:hAnsi="Aptos"/>
          <w:b/>
          <w:i w:val="0"/>
          <w:color w:val="137C7B"/>
          <w:sz w:val="25"/>
        </w:rPr>
        <w:t>Required approved content</w:t>
      </w:r>
    </w:p>
    <w:p>
      <w:pPr>
        <w:pStyle w:val="ListBullet"/>
        <w:spacing w:after="80" w:line="269" w:lineRule="auto"/>
      </w:pPr>
      <w:r>
        <w:rPr>
          <w:rFonts w:ascii="Aptos" w:hAnsi="Aptos"/>
          <w:b w:val="0"/>
          <w:i w:val="0"/>
          <w:color w:val="24313A"/>
          <w:sz w:val="19"/>
        </w:rPr>
        <w:t>Brand and active ingredient presentation, dosage form, strength, route, pack, storage, legal category, MAH, and company address.</w:t>
      </w:r>
    </w:p>
    <w:p>
      <w:pPr>
        <w:pStyle w:val="ListBullet"/>
        <w:spacing w:after="80" w:line="269" w:lineRule="auto"/>
      </w:pPr>
      <w:r>
        <w:rPr>
          <w:rFonts w:ascii="Aptos" w:hAnsi="Aptos"/>
          <w:b w:val="0"/>
          <w:i w:val="0"/>
          <w:color w:val="24313A"/>
          <w:sz w:val="19"/>
        </w:rPr>
        <w:t>Exact approved indication and patient population.</w:t>
      </w:r>
    </w:p>
    <w:p>
      <w:pPr>
        <w:pStyle w:val="ListBullet"/>
        <w:spacing w:after="80" w:line="269" w:lineRule="auto"/>
      </w:pPr>
      <w:r>
        <w:rPr>
          <w:rFonts w:ascii="Aptos" w:hAnsi="Aptos"/>
          <w:b w:val="0"/>
          <w:i w:val="0"/>
          <w:color w:val="24313A"/>
          <w:sz w:val="19"/>
        </w:rPr>
        <w:t>Exact dosage, administration, missed-dose instructions, adjustment rules, and treatment duration.</w:t>
      </w:r>
    </w:p>
    <w:p>
      <w:pPr>
        <w:pStyle w:val="ListBullet"/>
        <w:spacing w:after="80" w:line="269" w:lineRule="auto"/>
      </w:pPr>
      <w:r>
        <w:rPr>
          <w:rFonts w:ascii="Aptos" w:hAnsi="Aptos"/>
          <w:b w:val="0"/>
          <w:i w:val="0"/>
          <w:color w:val="24313A"/>
          <w:sz w:val="19"/>
        </w:rPr>
        <w:t>Contraindications, serious warnings, precautions, interactions, adverse reactions, overdose, and special-population language.</w:t>
      </w:r>
    </w:p>
    <w:p>
      <w:pPr>
        <w:pStyle w:val="ListBullet"/>
        <w:spacing w:after="80" w:line="269" w:lineRule="auto"/>
      </w:pPr>
      <w:r>
        <w:rPr>
          <w:rFonts w:ascii="Aptos" w:hAnsi="Aptos"/>
          <w:b w:val="0"/>
          <w:i w:val="0"/>
          <w:color w:val="24313A"/>
          <w:sz w:val="19"/>
        </w:rPr>
        <w:t>Current approval, revision, and preparation dates plus further-information statement.</w:t>
      </w:r>
    </w:p>
    <w:p>
      <w:pPr>
        <w:pStyle w:val="Heading2"/>
        <w:keepNext/>
      </w:pPr>
      <w:r>
        <w:rPr>
          <w:rFonts w:ascii="Aptos" w:hAnsi="Aptos"/>
          <w:b/>
          <w:i w:val="0"/>
          <w:color w:val="137C7B"/>
          <w:sz w:val="25"/>
        </w:rPr>
        <w:t>Unresolved product-specific fields</w:t>
      </w:r>
    </w:p>
    <w:p>
      <w:pPr>
        <w:pStyle w:val="ListBullet"/>
        <w:spacing w:after="80" w:line="269" w:lineRule="auto"/>
      </w:pPr>
      <w:r>
        <w:rPr>
          <w:rFonts w:ascii="Aptos" w:hAnsi="Aptos"/>
          <w:b w:val="0"/>
          <w:i w:val="0"/>
          <w:color w:val="24313A"/>
          <w:sz w:val="19"/>
        </w:rPr>
        <w:t>Exact India-approved indication and combination-use wording.</w:t>
      </w:r>
    </w:p>
    <w:p>
      <w:pPr>
        <w:pStyle w:val="ListBullet"/>
        <w:spacing w:after="80" w:line="269" w:lineRule="auto"/>
      </w:pPr>
      <w:r>
        <w:rPr>
          <w:rFonts w:ascii="Aptos" w:hAnsi="Aptos"/>
          <w:b w:val="0"/>
          <w:i w:val="0"/>
          <w:color w:val="24313A"/>
          <w:sz w:val="19"/>
        </w:rPr>
        <w:t>Approved strengths and renal-dose thresholds.</w:t>
      </w:r>
    </w:p>
    <w:p>
      <w:pPr>
        <w:pStyle w:val="ListBullet"/>
        <w:spacing w:after="80" w:line="269" w:lineRule="auto"/>
      </w:pPr>
      <w:r>
        <w:rPr>
          <w:rFonts w:ascii="Aptos" w:hAnsi="Aptos"/>
          <w:b w:val="0"/>
          <w:i w:val="0"/>
          <w:color w:val="24313A"/>
          <w:sz w:val="19"/>
        </w:rPr>
        <w:t>Missed-dose, duplicate-dose, and switching instructions.</w:t>
      </w:r>
    </w:p>
    <w:p>
      <w:pPr>
        <w:pStyle w:val="ListBullet"/>
        <w:spacing w:after="80" w:line="269" w:lineRule="auto"/>
      </w:pPr>
      <w:r>
        <w:rPr>
          <w:rFonts w:ascii="Aptos" w:hAnsi="Aptos"/>
          <w:b w:val="0"/>
          <w:i w:val="0"/>
          <w:color w:val="24313A"/>
          <w:sz w:val="19"/>
        </w:rPr>
        <w:t>Formal contraindications, warnings, adverse reactions, interactions, and special-population statements.</w:t>
      </w:r>
    </w:p>
    <w:p>
      <w:pPr>
        <w:pStyle w:val="ListBullet"/>
        <w:spacing w:after="80" w:line="269" w:lineRule="auto"/>
      </w:pPr>
      <w:r>
        <w:rPr>
          <w:rFonts w:ascii="Aptos" w:hAnsi="Aptos"/>
          <w:b w:val="0"/>
          <w:i w:val="0"/>
          <w:color w:val="24313A"/>
          <w:sz w:val="19"/>
        </w:rPr>
        <w:t>Current India MAH, pack, storage, legal category, and revision date.</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Control rule</w:t>
            </w:r>
          </w:p>
          <w:p>
            <w:pPr>
              <w:spacing w:after="0" w:line="276" w:lineRule="auto"/>
            </w:pPr>
            <w:r>
              <w:rPr>
                <w:rFonts w:ascii="Aptos" w:hAnsi="Aptos"/>
                <w:b w:val="0"/>
                <w:i w:val="0"/>
                <w:color w:val="24313A"/>
                <w:sz w:val="19"/>
              </w:rPr>
              <w:t>The approved India prescribing information must be inserted without scientific rewriting, then independently checked against the source document before this monograph can progress beyond qualification draft status.</w:t>
            </w:r>
          </w:p>
        </w:tc>
      </w:tr>
    </w:tbl>
    <w:p>
      <w:pPr>
        <w:spacing w:after="40"/>
      </w:pPr>
    </w:p>
    <w:p>
      <w:r>
        <w:br w:type="page"/>
      </w:r>
    </w:p>
    <w:p>
      <w:pPr>
        <w:pStyle w:val="Heading1"/>
        <w:keepNext/>
      </w:pPr>
      <w:r>
        <w:rPr>
          <w:rFonts w:ascii="Aptos" w:hAnsi="Aptos"/>
          <w:b/>
          <w:i w:val="0"/>
          <w:color w:val="18324A"/>
          <w:sz w:val="32"/>
        </w:rPr>
        <w:t>Claim-Source and Fair-Balance Matrix</w:t>
      </w:r>
    </w:p>
    <w:p>
      <w:pPr>
        <w:spacing w:after="140" w:line="283" w:lineRule="auto"/>
      </w:pPr>
      <w:r>
        <w:rPr>
          <w:rFonts w:ascii="Aptos" w:hAnsi="Aptos"/>
          <w:b w:val="0"/>
          <w:i w:val="0"/>
          <w:color w:val="24313A"/>
          <w:sz w:val="21"/>
        </w:rPr>
        <w:t>The following matrix controls high-value statements about trelagliptin. It is an internal review tool and does not confer promotional approval.</w:t>
      </w:r>
    </w:p>
    <w:tbl>
      <w:tblPr>
        <w:tblStyle w:val="TableGrid"/>
        <w:tblW w:type="auto" w:w="0"/>
        <w:jc w:val="center"/>
        <w:tblLayout w:type="fixed"/>
        <w:tblLook w:firstColumn="1" w:firstRow="1" w:lastColumn="0" w:lastRow="0" w:noHBand="0" w:noVBand="1" w:val="04A0"/>
      </w:tblPr>
      <w:tblGrid>
        <w:gridCol w:w="648"/>
        <w:gridCol w:w="2592"/>
        <w:gridCol w:w="1944"/>
        <w:gridCol w:w="2736"/>
        <w:gridCol w:w="1080"/>
      </w:tblGrid>
      <w:tr>
        <w:trPr>
          <w:tblHeader w:val="true"/>
        </w:trPr>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ID</w:t>
            </w:r>
          </w:p>
        </w:tc>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Controlled statement</w:t>
            </w:r>
          </w:p>
        </w:tc>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Evidence anchor</w:t>
            </w:r>
          </w:p>
        </w:tc>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Boundary / fair balance</w:t>
            </w:r>
          </w:p>
        </w:tc>
        <w:tc>
          <w:tcPr>
            <w:tcW w:type="dxa" w:w="1930"/>
            <w:shd w:fill="18324A"/>
            <w:tcMar>
              <w:top w:w="100" w:type="dxa"/>
              <w:start w:w="120" w:type="dxa"/>
              <w:bottom w:w="100" w:type="dxa"/>
              <w:end w:w="120" w:type="dxa"/>
            </w:tcMar>
            <w:vAlign w:val="center"/>
          </w:tcPr>
          <w:p>
            <w:pPr>
              <w:jc w:val="center"/>
            </w:pPr>
            <w:r/>
            <w:r>
              <w:rPr>
                <w:rFonts w:ascii="Aptos" w:hAnsi="Aptos"/>
                <w:b/>
                <w:i w:val="0"/>
                <w:color w:val="FFFFFF"/>
                <w:sz w:val="14"/>
              </w:rPr>
              <w:t>Status</w:t>
            </w:r>
          </w:p>
        </w:tc>
      </w:tr>
      <w:tr>
        <w:tc>
          <w:tcPr>
            <w:tcW w:type="dxa" w:w="6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TR-01</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Trelagliptin is a selective oral DPP-4 inhibitor developed for once-weekly administration.</w:t>
            </w:r>
          </w:p>
        </w:tc>
        <w:tc>
          <w:tcPr>
            <w:tcW w:type="dxa" w:w="19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PMDA review; PMID 26115728</w:t>
            </w:r>
          </w:p>
        </w:tc>
        <w:tc>
          <w:tcPr>
            <w:tcW w:type="dxa" w:w="27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Administration frequency does not establish superior outcomes.</w:t>
            </w:r>
          </w:p>
        </w:tc>
        <w:tc>
          <w:tcPr>
            <w:tcW w:type="dxa" w:w="108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Scientific supported</w:t>
            </w:r>
          </w:p>
        </w:tc>
      </w:tr>
      <w:tr>
        <w:tc>
          <w:tcPr>
            <w:tcW w:type="dxa" w:w="6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TR-02</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Trelagliptin was non-inferior to daily alogliptin for HbA1c change in a 24-week Japanese phase III study.</w:t>
            </w:r>
          </w:p>
        </w:tc>
        <w:tc>
          <w:tcPr>
            <w:tcW w:type="dxa" w:w="194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PMID 25609193</w:t>
            </w:r>
          </w:p>
        </w:tc>
        <w:tc>
          <w:tcPr>
            <w:tcW w:type="dxa" w:w="27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Retain population, comparator, endpoint, duration, margin, and CI.</w:t>
            </w:r>
          </w:p>
        </w:tc>
        <w:tc>
          <w:tcPr>
            <w:tcW w:type="dxa" w:w="108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Scientific supported</w:t>
            </w:r>
          </w:p>
        </w:tc>
      </w:tr>
      <w:tr>
        <w:tc>
          <w:tcPr>
            <w:tcW w:type="dxa" w:w="6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TR-03</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An Indian phase III study reported non-inferiority to twice-daily vildagliptin over 16 weeks.</w:t>
            </w:r>
          </w:p>
        </w:tc>
        <w:tc>
          <w:tcPr>
            <w:tcW w:type="dxa" w:w="19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PMCID PMC12215575</w:t>
            </w:r>
          </w:p>
        </w:tc>
        <w:tc>
          <w:tcPr>
            <w:tcW w:type="dxa" w:w="27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Open-label and short-duration limitations required.</w:t>
            </w:r>
          </w:p>
        </w:tc>
        <w:tc>
          <w:tcPr>
            <w:tcW w:type="dxa" w:w="108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Scientific supported</w:t>
            </w:r>
          </w:p>
        </w:tc>
      </w:tr>
      <w:tr>
        <w:tc>
          <w:tcPr>
            <w:tcW w:type="dxa" w:w="6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TR-04</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A 25-mg weekly dose reduced HbA1c versus placebo in Japanese patients with severe renal impairment or ESRD.</w:t>
            </w:r>
          </w:p>
        </w:tc>
        <w:tc>
          <w:tcPr>
            <w:tcW w:type="dxa" w:w="194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PMCID PMC7078116</w:t>
            </w:r>
          </w:p>
        </w:tc>
        <w:tc>
          <w:tcPr>
            <w:tcW w:type="dxa" w:w="27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Japan evidence; do not infer India-approved renal dose.</w:t>
            </w:r>
          </w:p>
        </w:tc>
        <w:tc>
          <w:tcPr>
            <w:tcW w:type="dxa" w:w="108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Scientific supported</w:t>
            </w:r>
          </w:p>
        </w:tc>
      </w:tr>
      <w:tr>
        <w:tc>
          <w:tcPr>
            <w:tcW w:type="dxa" w:w="648"/>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TR-05</w:t>
            </w:r>
          </w:p>
        </w:tc>
        <w:tc>
          <w:tcPr>
            <w:tcW w:type="dxa" w:w="2592"/>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Weekly dosing improves adherence and outcomes.</w:t>
            </w:r>
          </w:p>
        </w:tc>
        <w:tc>
          <w:tcPr>
            <w:tcW w:type="dxa" w:w="194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No adequate direct outcome evidence</w:t>
            </w:r>
          </w:p>
        </w:tc>
        <w:tc>
          <w:tcPr>
            <w:tcW w:type="dxa" w:w="273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Prohibited unless directly substantiated and approved.</w:t>
            </w:r>
          </w:p>
        </w:tc>
        <w:tc>
          <w:tcPr>
            <w:tcW w:type="dxa" w:w="108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Prohibited</w:t>
            </w:r>
          </w:p>
        </w:tc>
      </w:tr>
      <w:tr>
        <w:tc>
          <w:tcPr>
            <w:tcW w:type="dxa" w:w="648"/>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TR-06</w:t>
            </w:r>
          </w:p>
        </w:tc>
        <w:tc>
          <w:tcPr>
            <w:tcW w:type="dxa" w:w="2592"/>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Trelagliptin provides cardiovascular or kidney protection.</w:t>
            </w:r>
          </w:p>
        </w:tc>
        <w:tc>
          <w:tcPr>
            <w:tcW w:type="dxa" w:w="194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No dedicated outcome evidence identified</w:t>
            </w:r>
          </w:p>
        </w:tc>
        <w:tc>
          <w:tcPr>
            <w:tcW w:type="dxa" w:w="273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Unsupported.</w:t>
            </w:r>
          </w:p>
        </w:tc>
        <w:tc>
          <w:tcPr>
            <w:tcW w:type="dxa" w:w="108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Prohibited</w:t>
            </w:r>
          </w:p>
        </w:tc>
      </w:tr>
    </w:tbl>
    <w:p>
      <w:pPr>
        <w:spacing w:after="40"/>
      </w:pPr>
    </w:p>
    <w:p>
      <w:r>
        <w:br w:type="page"/>
      </w:r>
    </w:p>
    <w:p>
      <w:pPr>
        <w:pStyle w:val="Heading1"/>
        <w:keepNext/>
      </w:pPr>
      <w:r>
        <w:rPr>
          <w:rFonts w:ascii="Aptos" w:hAnsi="Aptos"/>
          <w:b/>
          <w:i w:val="0"/>
          <w:color w:val="18324A"/>
          <w:sz w:val="32"/>
        </w:rPr>
        <w:t>Reference and Open-Web Source Register</w:t>
      </w:r>
    </w:p>
    <w:tbl>
      <w:tblPr>
        <w:tblW w:type="auto" w:w="0"/>
        <w:jc w:val="center"/>
        <w:tblLayout w:type="fixed"/>
        <w:tblLook w:firstColumn="1" w:firstRow="1" w:lastColumn="0" w:lastRow="0" w:noHBand="0" w:noVBand="1" w:val="04A0"/>
      </w:tblPr>
      <w:tblGrid>
        <w:gridCol w:w="9000"/>
      </w:tblGrid>
      <w:tr>
        <w:tc>
          <w:tcPr>
            <w:tcW w:type="dxa" w:w="9648"/>
            <w:shd w:fill="E8F2F1"/>
            <w:tcMar>
              <w:top w:w="160" w:type="dxa"/>
              <w:start w:w="180" w:type="dxa"/>
              <w:bottom w:w="160" w:type="dxa"/>
              <w:end w:w="180" w:type="dxa"/>
            </w:tcMar>
          </w:tcPr>
          <w:p>
            <w:pPr>
              <w:spacing w:after="80"/>
            </w:pPr>
            <w:r>
              <w:rPr>
                <w:rFonts w:ascii="Aptos" w:hAnsi="Aptos"/>
                <w:b/>
                <w:i w:val="0"/>
                <w:color w:val="137C7B"/>
                <w:sz w:val="21"/>
              </w:rPr>
              <w:t>Search method</w:t>
            </w:r>
          </w:p>
          <w:p>
            <w:pPr>
              <w:spacing w:after="0" w:line="276" w:lineRule="auto"/>
            </w:pPr>
            <w:r>
              <w:rPr>
                <w:rFonts w:ascii="Aptos" w:hAnsi="Aptos"/>
                <w:b w:val="0"/>
                <w:i w:val="0"/>
                <w:color w:val="24313A"/>
                <w:sz w:val="19"/>
              </w:rPr>
              <w:t>Sources were discovered through PubMed, PubMed Central, regulator portals, trial-linked articles, open-access journal pages, and open-web citation chaining. Google Scholar is treated only as a discovery route; original publications and regulator records remain the evidence source.</w:t>
            </w:r>
          </w:p>
        </w:tc>
      </w:tr>
    </w:tbl>
    <w:p>
      <w:pPr>
        <w:spacing w:after="40"/>
      </w:pPr>
    </w:p>
    <w:p>
      <w:pPr>
        <w:spacing w:after="140" w:line="283" w:lineRule="auto"/>
      </w:pPr>
      <w:r>
        <w:rPr>
          <w:rFonts w:ascii="Aptos" w:hAnsi="Aptos"/>
          <w:b w:val="0"/>
          <w:i w:val="0"/>
          <w:color w:val="24313A"/>
          <w:sz w:val="21"/>
        </w:rPr>
        <w:t>Reference handling follows a bibliography-first approach. Each line in the source register is written as a controlled citation with a stable locator so the review team can trace the origin quickly, but the narrative sections are still responsible for summarising what the evidence actually means. This keeps the document readable for HCP review while preserving the audit trail needed for scientific, regulatory, and legal checking.</w:t>
      </w:r>
    </w:p>
    <w:p>
      <w:pPr>
        <w:spacing w:after="140" w:line="283" w:lineRule="auto"/>
      </w:pPr>
      <w:r>
        <w:rPr>
          <w:rFonts w:ascii="Aptos" w:hAnsi="Aptos"/>
          <w:b w:val="0"/>
          <w:i w:val="0"/>
          <w:color w:val="24313A"/>
          <w:sz w:val="21"/>
        </w:rPr>
        <w:t>The register also acts as a control checkpoint for source quality. Regulator documents, sponsor-hosted product pages, package inserts, and peer-reviewed full text are not interchangeable, even when they discuss the same molecule. The review team should therefore check whether a citation is being used to support jurisdiction-specific labelling, mechanistic background, comparative efficacy, safety, or simply historical context. This distinction is especially important when a product monograph is being prepared before the current India-approved package insert has been secured, because the same English sentence can be scientifically true in one jurisdiction and legally unusable in another.</w:t>
      </w:r>
    </w:p>
    <w:tbl>
      <w:tblPr>
        <w:tblStyle w:val="TableGrid"/>
        <w:tblW w:type="auto" w:w="0"/>
        <w:jc w:val="center"/>
        <w:tblLayout w:type="fixed"/>
        <w:tblLook w:firstColumn="1" w:firstRow="1" w:lastColumn="0" w:lastRow="0" w:noHBand="0" w:noVBand="1" w:val="04A0"/>
      </w:tblPr>
      <w:tblGrid>
        <w:gridCol w:w="504"/>
        <w:gridCol w:w="5256"/>
        <w:gridCol w:w="3240"/>
      </w:tblGrid>
      <w:tr>
        <w:trPr>
          <w:tblHeader w:val="true"/>
        </w:trPr>
        <w:tc>
          <w:tcPr>
            <w:tcW w:type="dxa" w:w="3216"/>
            <w:shd w:fill="137C7B"/>
            <w:tcMar>
              <w:top w:w="100" w:type="dxa"/>
              <w:start w:w="120" w:type="dxa"/>
              <w:bottom w:w="100" w:type="dxa"/>
              <w:end w:w="120" w:type="dxa"/>
            </w:tcMar>
            <w:vAlign w:val="center"/>
          </w:tcPr>
          <w:p>
            <w:pPr>
              <w:jc w:val="center"/>
            </w:pPr>
            <w:r/>
            <w:r>
              <w:rPr>
                <w:rFonts w:ascii="Aptos" w:hAnsi="Aptos"/>
                <w:b/>
                <w:i w:val="0"/>
                <w:color w:val="FFFFFF"/>
                <w:sz w:val="14"/>
              </w:rPr>
              <w:t>No.</w:t>
            </w:r>
          </w:p>
        </w:tc>
        <w:tc>
          <w:tcPr>
            <w:tcW w:type="dxa" w:w="3216"/>
            <w:shd w:fill="137C7B"/>
            <w:tcMar>
              <w:top w:w="100" w:type="dxa"/>
              <w:start w:w="120" w:type="dxa"/>
              <w:bottom w:w="100" w:type="dxa"/>
              <w:end w:w="120" w:type="dxa"/>
            </w:tcMar>
            <w:vAlign w:val="center"/>
          </w:tcPr>
          <w:p>
            <w:pPr>
              <w:jc w:val="center"/>
            </w:pPr>
            <w:r/>
            <w:r>
              <w:rPr>
                <w:rFonts w:ascii="Aptos" w:hAnsi="Aptos"/>
                <w:b/>
                <w:i w:val="0"/>
                <w:color w:val="FFFFFF"/>
                <w:sz w:val="14"/>
              </w:rPr>
              <w:t>Vancouver-style reference</w:t>
            </w:r>
          </w:p>
        </w:tc>
        <w:tc>
          <w:tcPr>
            <w:tcW w:type="dxa" w:w="3216"/>
            <w:shd w:fill="137C7B"/>
            <w:tcMar>
              <w:top w:w="100" w:type="dxa"/>
              <w:start w:w="120" w:type="dxa"/>
              <w:bottom w:w="100" w:type="dxa"/>
              <w:end w:w="120" w:type="dxa"/>
            </w:tcMar>
            <w:vAlign w:val="center"/>
          </w:tcPr>
          <w:p>
            <w:pPr>
              <w:jc w:val="center"/>
            </w:pPr>
            <w:r/>
            <w:r>
              <w:rPr>
                <w:rFonts w:ascii="Aptos" w:hAnsi="Aptos"/>
                <w:b/>
                <w:i w:val="0"/>
                <w:color w:val="FFFFFF"/>
                <w:sz w:val="14"/>
              </w:rPr>
              <w:t>Stable URL</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1</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PMDA. Zafatek (trelagliptin succinate) review report.</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https://www.pmda.go.jp/files/000213963.pdf</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2</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PMDA. Trelagliptin renal-impairment and 25-mg strength review.</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https://www.pmda.go.jp/files/000231402.pdf</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3</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PMDA. Current Zafatek patient guide.</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https://www.info.pmda.go.jp/downfiles/ph/GUI/470310_3969024F1028_2_00G.pdf</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4</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McKeage K. Trelagliptin: First Global Approval. Drugs. 2015;75:1161-1164. PMID 26115728.</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https://pubmed.ncbi.nlm.nih.gov/26115728/</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5</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Inagaki N, et al. Once-weekly trelagliptin versus daily alogliptin. Lancet Diabetes Endocrinol. 2015;3:191-197. PMID 25609193.</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https://pubmed.ncbi.nlm.nih.gov/25609193/</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6</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Inagaki N, et al. Phase 2 randomized dose-ranging study of SYR-472. Diabetes Obes Metab. PMID 24622716.</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https://pubmed.ncbi.nlm.nih.gov/24622716/</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7</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Inagaki N, et al. Long-term monotherapy and combination therapy study. PMID 27181699.</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https://pubmed.ncbi.nlm.nih.gov/27181699/</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8</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Kaku K, et al. Trelagliptin add-on to insulin, randomized phase IV study. PMCID PMC6175153.</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https://pmc.ncbi.nlm.nih.gov/articles/PMC6175153/</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9</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Inagaki N, et al. Trelagliptin in severe renal impairment or ESRD. PMCID PMC7078116.</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https://pmc.ncbi.nlm.nih.gov/articles/PMC7078116/</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10</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Inagaki N, et al. Switching from daily DPP-4 inhibitor to weekly trelagliptin. PMCID PMC5835476.</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https://pmc.ncbi.nlm.nih.gov/articles/PMC5835476/</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11</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Oita M, et al. Satisfaction after switching to weekly trelagliptin. PMID 29093280.</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https://pubmed.ncbi.nlm.nih.gov/29093280/</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12</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Ishii H, et al. Randomized QOL and treatment-satisfaction study. PMCID PMC6612345.</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https://pmc.ncbi.nlm.nih.gov/articles/PMC6612345/</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13</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Ida S, et al. Vascular endothelial function pilot study. PMCID PMC5096292.</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https://pmc.ncbi.nlm.nih.gov/articles/PMC5096292/</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14</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Dewan B, et al. Trelagliptin versus vildagliptin in Indian patients. PMCID PMC12215575.</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https://pmc.ncbi.nlm.nih.gov/articles/PMC12215575/</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15</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DUET-beta study: dulaglutide versus trelagliptin. PMCID PMC11291836.</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https://pmc.ncbi.nlm.nih.gov/articles/PMC11291836/</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16</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Kaku K. Safety evaluation of trelagliptin. PMID 28829213.</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https://pubmed.ncbi.nlm.nih.gov/28829213/</w:t>
            </w:r>
          </w:p>
        </w:tc>
      </w:tr>
      <w:tr>
        <w:tc>
          <w:tcPr>
            <w:tcW w:type="dxa" w:w="504"/>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17</w:t>
            </w:r>
          </w:p>
        </w:tc>
        <w:tc>
          <w:tcPr>
            <w:tcW w:type="dxa" w:w="5256"/>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PBPK-DPP-4 occupancy model in renal impairment. Biomed Pharmacother. 2022;153:113509.</w:t>
            </w:r>
          </w:p>
        </w:tc>
        <w:tc>
          <w:tcPr>
            <w:tcW w:type="dxa" w:w="3240"/>
            <w:tcMar>
              <w:top w:w="100" w:type="dxa"/>
              <w:start w:w="120" w:type="dxa"/>
              <w:bottom w:w="100" w:type="dxa"/>
              <w:end w:w="120" w:type="dxa"/>
            </w:tcMar>
            <w:shd w:fill="FFFFFF"/>
            <w:vAlign w:val="center"/>
          </w:tcPr>
          <w:p>
            <w:pPr>
              <w:spacing w:after="0" w:line="252" w:lineRule="auto"/>
            </w:pPr>
            <w:r/>
            <w:r>
              <w:rPr>
                <w:rFonts w:ascii="Aptos" w:hAnsi="Aptos"/>
                <w:b w:val="0"/>
                <w:i w:val="0"/>
                <w:color w:val="24313A"/>
                <w:sz w:val="14"/>
              </w:rPr>
              <w:t>https://www.sciencedirect.com/science/article/pii/S0753332222008988</w:t>
            </w:r>
          </w:p>
        </w:tc>
      </w:tr>
      <w:tr>
        <w:tc>
          <w:tcPr>
            <w:tcW w:type="dxa" w:w="504"/>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18</w:t>
            </w:r>
          </w:p>
        </w:tc>
        <w:tc>
          <w:tcPr>
            <w:tcW w:type="dxa" w:w="5256"/>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CDSCO. Approved New Drugs portal.</w:t>
            </w:r>
          </w:p>
        </w:tc>
        <w:tc>
          <w:tcPr>
            <w:tcW w:type="dxa" w:w="3240"/>
            <w:tcMar>
              <w:top w:w="100" w:type="dxa"/>
              <w:start w:w="120" w:type="dxa"/>
              <w:bottom w:w="100" w:type="dxa"/>
              <w:end w:w="120" w:type="dxa"/>
            </w:tcMar>
            <w:shd w:fill="F4F6F7"/>
            <w:vAlign w:val="center"/>
          </w:tcPr>
          <w:p>
            <w:pPr>
              <w:spacing w:after="0" w:line="252" w:lineRule="auto"/>
            </w:pPr>
            <w:r/>
            <w:r>
              <w:rPr>
                <w:rFonts w:ascii="Aptos" w:hAnsi="Aptos"/>
                <w:b w:val="0"/>
                <w:i w:val="0"/>
                <w:color w:val="24313A"/>
                <w:sz w:val="14"/>
              </w:rPr>
              <w:t>https://cdsco.gov.in/opencms/opencms/en/Approval_new/Approved-New-Drugs</w:t>
            </w:r>
          </w:p>
        </w:tc>
      </w:tr>
    </w:tbl>
    <w:p>
      <w:pPr>
        <w:spacing w:after="40"/>
      </w:pPr>
    </w:p>
    <w:p>
      <w:r>
        <w:br w:type="page"/>
      </w:r>
    </w:p>
    <w:p>
      <w:pPr>
        <w:pStyle w:val="Heading1"/>
        <w:keepNext/>
      </w:pPr>
      <w:r>
        <w:rPr>
          <w:rFonts w:ascii="Aptos" w:hAnsi="Aptos"/>
          <w:b/>
          <w:i w:val="0"/>
          <w:color w:val="18324A"/>
          <w:sz w:val="32"/>
        </w:rPr>
        <w:t>Appendix: Internal Review Questions</w:t>
      </w:r>
    </w:p>
    <w:p>
      <w:pPr>
        <w:pStyle w:val="ListBullet"/>
        <w:spacing w:after="80" w:line="269" w:lineRule="auto"/>
      </w:pPr>
      <w:r>
        <w:rPr>
          <w:rFonts w:ascii="Aptos" w:hAnsi="Aptos"/>
          <w:b w:val="0"/>
          <w:i w:val="0"/>
          <w:color w:val="24313A"/>
          <w:sz w:val="19"/>
        </w:rPr>
        <w:t>Does every efficacy statement identify the studied population, comparator, duration, endpoint, and limitation?</w:t>
      </w:r>
    </w:p>
    <w:p>
      <w:pPr>
        <w:pStyle w:val="ListBullet"/>
        <w:spacing w:after="80" w:line="269" w:lineRule="auto"/>
      </w:pPr>
      <w:r>
        <w:rPr>
          <w:rFonts w:ascii="Aptos" w:hAnsi="Aptos"/>
          <w:b w:val="0"/>
          <w:i w:val="0"/>
          <w:color w:val="24313A"/>
          <w:sz w:val="19"/>
        </w:rPr>
        <w:t>Are Japan regulatory statements clearly separated from India prescribing claims?</w:t>
      </w:r>
    </w:p>
    <w:p>
      <w:pPr>
        <w:pStyle w:val="ListBullet"/>
        <w:spacing w:after="80" w:line="269" w:lineRule="auto"/>
      </w:pPr>
      <w:r>
        <w:rPr>
          <w:rFonts w:ascii="Aptos" w:hAnsi="Aptos"/>
          <w:b w:val="0"/>
          <w:i w:val="0"/>
          <w:color w:val="24313A"/>
          <w:sz w:val="19"/>
        </w:rPr>
        <w:t>Is every weekly-dose instruction verified against the current India package insert?</w:t>
      </w:r>
    </w:p>
    <w:p>
      <w:pPr>
        <w:pStyle w:val="ListBullet"/>
        <w:spacing w:after="80" w:line="269" w:lineRule="auto"/>
      </w:pPr>
      <w:r>
        <w:rPr>
          <w:rFonts w:ascii="Aptos" w:hAnsi="Aptos"/>
          <w:b w:val="0"/>
          <w:i w:val="0"/>
          <w:color w:val="24313A"/>
          <w:sz w:val="19"/>
        </w:rPr>
        <w:t>Are cardiorenal, mortality, adherence, and superiority claims absent unless directly substantiated?</w:t>
      </w:r>
    </w:p>
    <w:p>
      <w:pPr>
        <w:pStyle w:val="ListBullet"/>
        <w:spacing w:after="80" w:line="269" w:lineRule="auto"/>
      </w:pPr>
      <w:r>
        <w:rPr>
          <w:rFonts w:ascii="Aptos" w:hAnsi="Aptos"/>
          <w:b w:val="0"/>
          <w:i w:val="0"/>
          <w:color w:val="24313A"/>
          <w:sz w:val="19"/>
        </w:rPr>
        <w:t>Does safety receive prominence comparable to efficacy?</w:t>
      </w:r>
    </w:p>
    <w:p>
      <w:pPr>
        <w:pStyle w:val="ListBullet"/>
        <w:spacing w:after="80" w:line="269" w:lineRule="auto"/>
      </w:pPr>
      <w:r>
        <w:rPr>
          <w:rFonts w:ascii="Aptos" w:hAnsi="Aptos"/>
          <w:b w:val="0"/>
          <w:i w:val="0"/>
          <w:color w:val="24313A"/>
          <w:sz w:val="19"/>
        </w:rPr>
        <w:t>Has every numerical result been independently reproduced from the original source?</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D6A73"/>
        <w:sz w:val="14"/>
      </w:rPr>
      <w:t>Controlled qualification draft | Dr. Bhupesh Dewan | Not for prescribing or external 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D6A73"/>
        <w:sz w:val="15"/>
      </w:rPr>
      <w:t>ClinCommand OS | Trelagliptin | Expanded HCP Scientific Monograph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color w:val="24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37C7B"/>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8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