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137C7B"/>
          <w:sz w:val="22"/>
        </w:rPr>
        <w:t>CLINCOMMAND OS</w:t>
      </w:r>
    </w:p>
    <w:p>
      <w:pPr>
        <w:spacing w:after="140"/>
        <w:jc w:val="center"/>
      </w:pPr>
      <w:r>
        <w:rPr>
          <w:rFonts w:ascii="Aptos Display" w:hAnsi="Aptos Display"/>
          <w:b/>
          <w:i w:val="0"/>
          <w:color w:val="18324A"/>
          <w:sz w:val="60"/>
        </w:rPr>
        <w:t>Seratrodast</w:t>
      </w:r>
    </w:p>
    <w:p>
      <w:pPr>
        <w:spacing w:after="520"/>
        <w:jc w:val="center"/>
      </w:pPr>
      <w:r>
        <w:rPr>
          <w:rFonts w:ascii="Aptos Display" w:hAnsi="Aptos Display"/>
          <w:b w:val="0"/>
          <w:i w:val="0"/>
          <w:color w:val="137C7B"/>
          <w:sz w:val="32"/>
        </w:rPr>
        <w:t>Expanded HCP Scientific Product Monograph</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Scientific purpose</w:t>
            </w:r>
          </w:p>
          <w:p>
            <w:pPr>
              <w:spacing w:after="0" w:line="276" w:lineRule="auto"/>
            </w:pPr>
            <w:r>
              <w:rPr>
                <w:rFonts w:ascii="Aptos" w:hAnsi="Aptos"/>
                <w:b w:val="0"/>
                <w:i w:val="0"/>
                <w:color w:val="24313A"/>
                <w:sz w:val="19"/>
              </w:rPr>
              <w:t>A detailed scientific reference on an oral thromboxane A2/prostaglandin H2 receptor antagonist approved in India as add-on therapy in bronchial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Control field</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Value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Document status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Expanded qualification draft; not approved for prescribing, promotion, or external distribution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Intended audience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Medical, regulatory, pharmacovigilance, compliance reviewers and qualified HCP-content reviewers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Dr. Bhupesh Dewan, Mumbai, Maharashtra, India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cut-off</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6 June 2026</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India indication context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CDSCO lists 40-mg and 80-mg tablets approved on 30 November 2012 as add-on therapy in bronchial asthma.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The current India-approved package insert was not retrieved; Japanese dosing and safety statements remain clearly jurisdiction-qualified.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Controlled 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Owner-supplied Product Monograph SOP and World-Class HCP Product Monograph Skill consulted</w:t>
            </w:r>
          </w:p>
        </w:tc>
      </w:tr>
    </w:tbl>
    <w:p>
      <w:pPr>
        <w:spacing w:after="40"/>
      </w:pP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Mandatory use boundary</w:t>
            </w:r>
          </w:p>
          <w:p>
            <w:pPr>
              <w:spacing w:after="0" w:line="276" w:lineRule="auto"/>
            </w:pPr>
            <w:r>
              <w:rPr>
                <w:rFonts w:ascii="Aptos" w:hAnsi="Aptos"/>
                <w:b w:val="0"/>
                <w:i w:val="0"/>
                <w:color w:val="24313A"/>
                <w:sz w:val="19"/>
              </w:rPr>
              <w:t>This document is an expanded scientific qualification draft. It is designed to support medical review and HCP knowledge development, but it is not approved prescribing information and must not be used for prescribing, promotion, or external distribution until the current India-approved package insert, sponsor product particulars, and required medical, regulatory, pharmacovigilance, legal, and compliance approvals are incorporated.</w:t>
            </w:r>
          </w:p>
        </w:tc>
      </w:tr>
    </w:tbl>
    <w:p>
      <w:pPr>
        <w:spacing w:after="40"/>
      </w:pPr>
    </w:p>
    <w:p>
      <w:r>
        <w:br w:type="page"/>
      </w:r>
    </w:p>
    <w:p>
      <w:pPr>
        <w:pStyle w:val="Heading1"/>
        <w:keepNext/>
      </w:pPr>
      <w:r>
        <w:rPr>
          <w:rFonts w:ascii="Aptos" w:hAnsi="Aptos"/>
          <w:b/>
          <w:i w:val="0"/>
          <w:color w:val="18324A"/>
          <w:sz w:val="32"/>
        </w:rPr>
        <w:t>Document Control, Review, and Disclosure</w:t>
      </w:r>
    </w:p>
    <w:p>
      <w:pPr>
        <w:spacing w:after="140" w:line="283" w:lineRule="auto"/>
      </w:pPr>
      <w:r>
        <w:rPr>
          <w:rFonts w:ascii="Aptos" w:hAnsi="Aptos"/>
          <w:b w:val="0"/>
          <w:i w:val="0"/>
          <w:color w:val="24313A"/>
          <w:sz w:val="21"/>
        </w:rPr>
        <w:t>This monograph deliberately separates established evidence, jurisdiction-specific regulatory information, clinical interpretation, and unresolved gaps. International evidence is included to support scientific understanding; it must not be converted into an India-facing prescribing or promotional claim unless consistent with the current India-approved package insert.</w:t>
      </w:r>
    </w:p>
    <w:tbl>
      <w:tblPr>
        <w:tblStyle w:val="TableGrid"/>
        <w:tblW w:type="auto" w:w="0"/>
        <w:jc w:val="center"/>
        <w:tblLayout w:type="fixed"/>
        <w:tblLook w:firstColumn="1" w:firstRow="1" w:lastColumn="0" w:lastRow="0" w:noHBand="0" w:noVBand="1" w:val="04A0"/>
      </w:tblPr>
      <w:tblGrid>
        <w:gridCol w:w="2088"/>
        <w:gridCol w:w="6912"/>
      </w:tblGrid>
      <w:tr>
        <w:trPr>
          <w:tblHeader w:val="true"/>
        </w:trPr>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Review domain</w:t>
            </w:r>
          </w:p>
        </w:tc>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Required disposition before release</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Medical accuracy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Independent verification of every material scientific statement, numerical result, and interpretation</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Regulatory</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Confirmation of current India indication, posology, contraindications, warnings, interactions, and legal requirements</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Pharmacovigilance</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Reconciliation with current safety information, post-marketing findings, and risk-management requirements</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Legal and compliance</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Assessment against UCPMP and company policies; approval of intended-use classification</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Visual quality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Page-by-page rendered inspection of tables, references, warnings, and navigation</w:t>
            </w:r>
          </w:p>
        </w:tc>
      </w:tr>
    </w:tbl>
    <w:p>
      <w:pPr>
        <w:spacing w:after="40"/>
      </w:pPr>
    </w:p>
    <w:p>
      <w:r>
        <w:br w:type="page"/>
      </w:r>
    </w:p>
    <w:p>
      <w:pPr>
        <w:pStyle w:val="Heading1"/>
        <w:keepNext/>
      </w:pPr>
      <w:r>
        <w:rPr>
          <w:rFonts w:ascii="Aptos" w:hAnsi="Aptos"/>
          <w:b/>
          <w:i w:val="0"/>
          <w:color w:val="18324A"/>
          <w:sz w:val="32"/>
        </w:rPr>
        <w:t>Executive Scientific Summary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should an HCP understand about Seratrodast before deciding whether it is relevant for an individual patient?</w:t>
            </w:r>
          </w:p>
        </w:tc>
      </w:tr>
    </w:tbl>
    <w:p>
      <w:pPr>
        <w:spacing w:after="40"/>
      </w:pPr>
    </w:p>
    <w:p>
      <w:pPr>
        <w:spacing w:after="140" w:line="283" w:lineRule="auto"/>
      </w:pPr>
      <w:r>
        <w:rPr>
          <w:rFonts w:ascii="Aptos" w:hAnsi="Aptos"/>
          <w:b w:val="0"/>
          <w:i w:val="0"/>
          <w:color w:val="24313A"/>
          <w:sz w:val="21"/>
        </w:rPr>
        <w:t>Scientific interpretation: Thromboxane A2 can contribute to airway smooth-muscle constriction, hyperresponsiveness, inflammation-related signaling, and airway secretion characteristics.  Seratrodast antagonizes the TP receptor and provides a mechanistically distinct oral add-on approach.  Mechanistic plausibility does not make it a rescue bronchodilator or a replacement for inhaled corticosteroid-containing treatment.</w:t>
      </w:r>
    </w:p>
    <w:p>
      <w:pPr>
        <w:spacing w:after="140" w:line="283" w:lineRule="auto"/>
      </w:pPr>
      <w:r>
        <w:rPr>
          <w:rFonts w:ascii="Aptos" w:hAnsi="Aptos"/>
          <w:b w:val="0"/>
          <w:i w:val="0"/>
          <w:color w:val="24313A"/>
          <w:sz w:val="21"/>
        </w:rPr>
        <w:t>Scientific interpretation: Randomized and supportive studies report effects on selected asthma symptoms, peak-flow variability, airway hyperresponsiveness, sputum characteristics, mucociliary clearance, and selected lung-function measures.  An Indian double-blind comparative study evaluated seratrodast against montelukast as add-on therapy.  The evidence is generally older, short-duration, limited in size, and does not establish reduction in severe exacerbations, hospitalization, or mortality.</w:t>
      </w:r>
    </w:p>
    <w:p>
      <w:pPr>
        <w:spacing w:after="140" w:line="283" w:lineRule="auto"/>
      </w:pPr>
      <w:r>
        <w:rPr>
          <w:rFonts w:ascii="Aptos" w:hAnsi="Aptos"/>
          <w:b w:val="0"/>
          <w:i w:val="0"/>
          <w:color w:val="24313A"/>
          <w:sz w:val="21"/>
        </w:rPr>
        <w:t>Scientific interpretation: Japanese regulatory safety information identifies serious hepatic dysfunction, jaundice, and fulminant hepatitis, with monthly liver-function monitoring in that jurisdiction.  This signal requires prominent risk assessment and monitoring discussion.  The exact current India warning, monitoring, and contraindication language must be confirmed from the approved India package insert.</w:t>
      </w:r>
    </w:p>
    <w:p>
      <w:pPr>
        <w:spacing w:after="140" w:line="283" w:lineRule="auto"/>
      </w:pPr>
      <w:r>
        <w:rPr>
          <w:rFonts w:ascii="Aptos" w:hAnsi="Aptos"/>
          <w:b w:val="0"/>
          <w:i w:val="0"/>
          <w:color w:val="24313A"/>
          <w:sz w:val="21"/>
        </w:rPr>
        <w:t>Scientific interpretation: The verified India approval-list wording identifies add-on therapy in bronchial asthma.  Its place may be relevant only after ensuring that foundational asthma assessment, inhaled corticosteroid-containing therapy, inhaler technique, adherence, and risk management are addressed.  It is not part of mainstream GINA treatment pathways and must not be positioned as guideline-preferred or suitable for acute attacks.</w:t>
      </w:r>
    </w:p>
    <w:p>
      <w:pPr>
        <w:pStyle w:val="Heading2"/>
        <w:keepNext/>
      </w:pPr>
      <w:r>
        <w:rPr>
          <w:rFonts w:ascii="Aptos" w:hAnsi="Aptos"/>
          <w:b/>
          <w:i w:val="0"/>
          <w:color w:val="137C7B"/>
          <w:sz w:val="25"/>
        </w:rPr>
        <w:t>Executive quick reference</w:t>
      </w:r>
    </w:p>
    <w:tbl>
      <w:tblPr>
        <w:tblStyle w:val="TableGrid"/>
        <w:tblW w:type="auto" w:w="0"/>
        <w:jc w:val="center"/>
        <w:tblLayout w:type="fixed"/>
        <w:tblLook w:firstColumn="1" w:firstRow="1" w:lastColumn="0" w:lastRow="0" w:noHBand="0" w:noVBand="1" w:val="04A0"/>
      </w:tblPr>
      <w:tblGrid>
        <w:gridCol w:w="2448"/>
        <w:gridCol w:w="6552"/>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Decision dimension</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Evidence-based summary</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Molecule and class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Seratrodast; oral TP-receptor antagonist; development code AA-2414.</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Verified India role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40-mg and 80-mg tablets listed by CDSCO as add-on therapy in bronchial asthma.</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Mechanistic focus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Antagonism of thromboxane A2/prostaglandin H2 receptor-mediated airway effects.</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base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Phase II PK/PD, placebo-controlled sputum study, airway-hyperresponsiveness study, biomarker-response work, Indian montelukast comparison, and Japanese regulatory experience.</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Principal safety focus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Serious hepatic injury signal and liver-function monitoring in Japanese information.</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Not a rapid bronchodilator; not a replacement for inhaled corticosteroid-containing controller therapy.</w:t>
            </w:r>
          </w:p>
        </w:tc>
      </w:tr>
    </w:tbl>
    <w:p>
      <w:pPr>
        <w:spacing w:after="40"/>
      </w:pPr>
    </w:p>
    <w:p>
      <w:pPr>
        <w:pStyle w:val="Heading2"/>
        <w:keepNext/>
      </w:pPr>
      <w:r>
        <w:rPr>
          <w:rFonts w:ascii="Aptos" w:hAnsi="Aptos"/>
          <w:b/>
          <w:i w:val="0"/>
          <w:color w:val="137C7B"/>
          <w:sz w:val="25"/>
        </w:rPr>
        <w:t>What remains uncertain</w:t>
      </w:r>
    </w:p>
    <w:p>
      <w:pPr>
        <w:pStyle w:val="ListBullet"/>
        <w:spacing w:after="80" w:line="269" w:lineRule="auto"/>
      </w:pPr>
      <w:r>
        <w:rPr>
          <w:rFonts w:ascii="Aptos" w:hAnsi="Aptos"/>
          <w:b w:val="0"/>
          <w:i w:val="0"/>
          <w:color w:val="24313A"/>
          <w:sz w:val="19"/>
        </w:rPr>
        <w:t>Current complete India-approved package insert was not available.</w:t>
      </w:r>
    </w:p>
    <w:p>
      <w:pPr>
        <w:pStyle w:val="ListBullet"/>
        <w:spacing w:after="80" w:line="269" w:lineRule="auto"/>
      </w:pPr>
      <w:r>
        <w:rPr>
          <w:rFonts w:ascii="Aptos" w:hAnsi="Aptos"/>
          <w:b w:val="0"/>
          <w:i w:val="0"/>
          <w:color w:val="24313A"/>
          <w:sz w:val="19"/>
        </w:rPr>
        <w:t>Evidence is generally older, short-duration, and limited in size.</w:t>
      </w:r>
    </w:p>
    <w:p>
      <w:pPr>
        <w:pStyle w:val="ListBullet"/>
        <w:spacing w:after="80" w:line="269" w:lineRule="auto"/>
      </w:pPr>
      <w:r>
        <w:rPr>
          <w:rFonts w:ascii="Aptos" w:hAnsi="Aptos"/>
          <w:b w:val="0"/>
          <w:i w:val="0"/>
          <w:color w:val="24313A"/>
          <w:sz w:val="19"/>
        </w:rPr>
        <w:t>Robust evidence for severe-exacerbation reduction, hospitalization, mortality, and long-term steroid-sparing benefit was not identified.</w:t>
      </w:r>
    </w:p>
    <w:p>
      <w:pPr>
        <w:pStyle w:val="ListBullet"/>
        <w:spacing w:after="80" w:line="269" w:lineRule="auto"/>
      </w:pPr>
      <w:r>
        <w:rPr>
          <w:rFonts w:ascii="Aptos" w:hAnsi="Aptos"/>
          <w:b w:val="0"/>
          <w:i w:val="0"/>
          <w:color w:val="24313A"/>
          <w:sz w:val="19"/>
        </w:rPr>
        <w:t>Current international asthma guidelines do not establish seratrodast as a preferred controller pathway.</w:t>
      </w:r>
    </w:p>
    <w:p>
      <w:pPr>
        <w:pStyle w:val="ListBullet"/>
        <w:spacing w:after="80" w:line="269" w:lineRule="auto"/>
      </w:pPr>
      <w:r>
        <w:rPr>
          <w:rFonts w:ascii="Aptos" w:hAnsi="Aptos"/>
          <w:b w:val="0"/>
          <w:i w:val="0"/>
          <w:color w:val="24313A"/>
          <w:sz w:val="19"/>
        </w:rPr>
        <w:t>India-specific post-marketing safety and long-term effectiveness evidence remain incompletely characterized.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Executive conclusion</w:t>
            </w:r>
          </w:p>
          <w:p>
            <w:pPr>
              <w:spacing w:after="0" w:line="276" w:lineRule="auto"/>
            </w:pPr>
            <w:r>
              <w:rPr>
                <w:rFonts w:ascii="Aptos" w:hAnsi="Aptos"/>
                <w:b w:val="0"/>
                <w:i w:val="0"/>
                <w:color w:val="24313A"/>
                <w:sz w:val="19"/>
              </w:rPr>
              <w:t>Seratrodast should be considered only within its locally approved role, after matching the patient, treatment objective, safety requirements, and evidence limitations. Convenience or mechanistic plausibility must never replace outcome evidence or the current approved label.</w:t>
            </w:r>
          </w:p>
        </w:tc>
      </w:tr>
    </w:tbl>
    <w:p>
      <w:pPr>
        <w:spacing w:after="40"/>
      </w:pPr>
    </w:p>
    <w:p>
      <w:r>
        <w:br w:type="page"/>
      </w:r>
    </w:p>
    <w:p>
      <w:pPr>
        <w:pStyle w:val="Heading1"/>
        <w:keepNext/>
      </w:pPr>
      <w:r>
        <w:rPr>
          <w:rFonts w:ascii="Aptos" w:hAnsi="Aptos"/>
          <w:b/>
          <w:i w:val="0"/>
          <w:color w:val="18324A"/>
          <w:sz w:val="32"/>
        </w:rPr>
        <w:t>1. Asthma as a Heterogeneous Chronic Airway Disease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Understanding asthma heterogeneity prevents an add-on medicine from being treated as a universal solution.</w:t>
            </w:r>
          </w:p>
        </w:tc>
      </w:tr>
    </w:tbl>
    <w:p>
      <w:pPr>
        <w:spacing w:after="40"/>
      </w:pPr>
    </w:p>
    <w:p>
      <w:pPr>
        <w:spacing w:after="140" w:line="283" w:lineRule="auto"/>
      </w:pPr>
      <w:r>
        <w:rPr>
          <w:rFonts w:ascii="Aptos" w:hAnsi="Aptos"/>
          <w:b w:val="0"/>
          <w:i w:val="0"/>
          <w:color w:val="24313A"/>
          <w:sz w:val="21"/>
        </w:rPr>
        <w:t>Scientific interpretation: Asthma combines variable airflow limitation, airway inflammation, bronchial hyperresponsiveness, triggers, comorbidities, and fluctuating future risk.  Treatment must address both current symptoms and the risk of exacerbation, loss of lung function, and treatment-related harm.  A medicine that changes selected symptoms or biomarkers does not automatically address every dimension of control.</w:t>
      </w:r>
    </w:p>
    <w:p>
      <w:pPr>
        <w:spacing w:after="140" w:line="283" w:lineRule="auto"/>
      </w:pPr>
      <w:r>
        <w:rPr>
          <w:rFonts w:ascii="Aptos" w:hAnsi="Aptos"/>
          <w:b w:val="0"/>
          <w:i w:val="0"/>
          <w:color w:val="24313A"/>
          <w:sz w:val="21"/>
        </w:rPr>
        <w:t>Scientific interpretation: Diagnosis, inhaler technique, adherence, exposure to triggers, smoking, comorbid rhinitis, obesity, reflux, and the adequacy of inhaled corticosteroid-containing treatment should be reviewed.  This protects patients from escalation that bypasses correctable causes.  Seratrodast's add-on role should be interpreted within this broader asthma-management framework.</w:t>
      </w:r>
    </w:p>
    <w:p>
      <w:pPr>
        <w:spacing w:after="140" w:line="283" w:lineRule="auto"/>
      </w:pPr>
      <w:r>
        <w:rPr>
          <w:rFonts w:ascii="Aptos" w:hAnsi="Aptos"/>
          <w:b w:val="0"/>
          <w:i w:val="0"/>
          <w:color w:val="24313A"/>
          <w:sz w:val="21"/>
        </w:rPr>
        <w:t>Scientific interpretation: Different inflammatory and mediator pathways can dominate in different patients, and response to targeted add-on approaches may vary.  Thromboxane-related biology may be more relevant in selected patients than others.  No validated routine biomarker currently establishes who should receive seratrodast in ordinary practice.</w:t>
      </w:r>
    </w:p>
    <w:p>
      <w:r>
        <w:br w:type="page"/>
      </w:r>
    </w:p>
    <w:p>
      <w:pPr>
        <w:pStyle w:val="Heading1"/>
        <w:keepNext/>
      </w:pPr>
      <w:r>
        <w:rPr>
          <w:rFonts w:ascii="Aptos" w:hAnsi="Aptos"/>
          <w:b/>
          <w:i w:val="0"/>
          <w:color w:val="18324A"/>
          <w:sz w:val="32"/>
        </w:rPr>
        <w:t>2. The Thromboxane Pathway in Airway Biology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pathway explains the scientific rationale while also revealing the limits of inference.</w:t>
            </w:r>
          </w:p>
        </w:tc>
      </w:tr>
    </w:tbl>
    <w:p>
      <w:pPr>
        <w:spacing w:after="40"/>
      </w:pPr>
    </w:p>
    <w:p>
      <w:pPr>
        <w:spacing w:after="140" w:line="283" w:lineRule="auto"/>
      </w:pPr>
      <w:r>
        <w:rPr>
          <w:rFonts w:ascii="Aptos" w:hAnsi="Aptos"/>
          <w:b w:val="0"/>
          <w:i w:val="0"/>
          <w:color w:val="24313A"/>
          <w:sz w:val="21"/>
        </w:rPr>
        <w:t>Scientific interpretation: Thromboxane A2 is an unstable arachidonic-acid-derived mediator that acts through the TP receptor and can influence smooth-muscle tone, platelet activity, vascular responses, and inflammatory signaling.  Airway effects provide a rationale for receptor antagonism in asthma.  Pathway involvement does not establish that blockade will improve all clinically important outcomes.</w:t>
      </w:r>
    </w:p>
    <w:p>
      <w:pPr>
        <w:spacing w:after="140" w:line="283" w:lineRule="auto"/>
      </w:pPr>
      <w:r>
        <w:rPr>
          <w:rFonts w:ascii="Aptos" w:hAnsi="Aptos"/>
          <w:b w:val="0"/>
          <w:i w:val="0"/>
          <w:color w:val="24313A"/>
          <w:sz w:val="21"/>
        </w:rPr>
        <w:t>Scientific interpretation: Experimental and clinical observations associate thromboxane signaling with bronchoconstriction, airway hyperresponsiveness, and aspects of airway inflammation and secretion.  This supports evaluation of TP-receptor antagonists as controller or add-on therapy.  Seratrodast is not a rapid bronchodilator and should not be used to treat an acute attack.</w:t>
      </w:r>
    </w:p>
    <w:p>
      <w:pPr>
        <w:spacing w:after="140" w:line="283" w:lineRule="auto"/>
      </w:pPr>
      <w:r>
        <w:rPr>
          <w:rFonts w:ascii="Aptos" w:hAnsi="Aptos"/>
          <w:b w:val="0"/>
          <w:i w:val="0"/>
          <w:color w:val="24313A"/>
          <w:sz w:val="21"/>
        </w:rPr>
        <w:t>Scientific interpretation: Seratrodast blocks TP-receptor signaling, whereas inhaled corticosteroids address broad airway inflammation and modern biologics target selected immune pathways.  Mechanistic diversity may create an adjunctive role.  It does not justify replacement of therapies with stronger guideline and outcome support.</w:t>
      </w:r>
    </w:p>
    <w:p>
      <w:r>
        <w:br w:type="page"/>
      </w:r>
    </w:p>
    <w:p>
      <w:pPr>
        <w:pStyle w:val="Heading1"/>
        <w:keepNext/>
      </w:pPr>
      <w:r>
        <w:rPr>
          <w:rFonts w:ascii="Aptos" w:hAnsi="Aptos"/>
          <w:b/>
          <w:i w:val="0"/>
          <w:color w:val="18324A"/>
          <w:sz w:val="32"/>
        </w:rPr>
        <w:t>3. Discovery, Molecular Identity, and Regulatory History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product's history explains both its distinctiveness and the age of much of its evidence base.</w:t>
            </w:r>
          </w:p>
        </w:tc>
      </w:tr>
    </w:tbl>
    <w:p>
      <w:pPr>
        <w:spacing w:after="40"/>
      </w:pPr>
    </w:p>
    <w:p>
      <w:pPr>
        <w:spacing w:after="140" w:line="283" w:lineRule="auto"/>
      </w:pPr>
      <w:r>
        <w:rPr>
          <w:rFonts w:ascii="Aptos" w:hAnsi="Aptos"/>
          <w:b w:val="0"/>
          <w:i w:val="0"/>
          <w:color w:val="24313A"/>
          <w:sz w:val="21"/>
        </w:rPr>
        <w:t>Scientific interpretation: Seratrodast, developed as AA-2414, is an orally active benzoquinone-containing TP-receptor antagonist.  It was among the first thromboxane-receptor antagonists used clinically for asthma.  Historical first-in-class status is not a claim of current guideline preference.</w:t>
      </w:r>
    </w:p>
    <w:p>
      <w:pPr>
        <w:spacing w:after="140" w:line="283" w:lineRule="auto"/>
      </w:pPr>
      <w:r>
        <w:rPr>
          <w:rFonts w:ascii="Aptos" w:hAnsi="Aptos"/>
          <w:b w:val="0"/>
          <w:i w:val="0"/>
          <w:color w:val="24313A"/>
          <w:sz w:val="21"/>
        </w:rPr>
        <w:t>Scientific interpretation: CDSCO records list seratrodast 40-mg and 80-mg tablets, approved on 30 November 2012 as add-on therapy in bronchial asthma.  This defines the narrow verified India role available from the public approval record.  The current package insert is still required for exact dose, warnings, contraindications, and product particulars.</w:t>
      </w:r>
    </w:p>
    <w:p>
      <w:pPr>
        <w:spacing w:after="140" w:line="283" w:lineRule="auto"/>
      </w:pPr>
      <w:r>
        <w:rPr>
          <w:rFonts w:ascii="Aptos" w:hAnsi="Aptos"/>
          <w:b w:val="0"/>
          <w:i w:val="0"/>
          <w:color w:val="24313A"/>
          <w:sz w:val="21"/>
        </w:rPr>
        <w:t>Scientific interpretation: Japanese product information documents bronchial-asthma use and provides detailed dosing, PK, and safety context.  This information is valuable for scientific understanding and risk identification.  It must remain labelled as Japanese information and cannot silently become India prescribing information.</w:t>
      </w:r>
    </w:p>
    <w:p>
      <w:r>
        <w:br w:type="page"/>
      </w:r>
    </w:p>
    <w:p>
      <w:pPr>
        <w:pStyle w:val="Heading1"/>
        <w:keepNext/>
      </w:pPr>
      <w:r>
        <w:rPr>
          <w:rFonts w:ascii="Aptos" w:hAnsi="Aptos"/>
          <w:b/>
          <w:i w:val="0"/>
          <w:color w:val="18324A"/>
          <w:sz w:val="32"/>
        </w:rPr>
        <w:t>4. Mechanism of Action and Translational Relevance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clinically useful mechanism chapter distinguishes established effects from hypotheses.</w:t>
            </w:r>
          </w:p>
        </w:tc>
      </w:tr>
    </w:tbl>
    <w:p>
      <w:pPr>
        <w:spacing w:after="40"/>
      </w:pPr>
    </w:p>
    <w:p>
      <w:pPr>
        <w:spacing w:after="140" w:line="283" w:lineRule="auto"/>
      </w:pPr>
      <w:r>
        <w:rPr>
          <w:rFonts w:ascii="Aptos" w:hAnsi="Aptos"/>
          <w:b w:val="0"/>
          <w:i w:val="0"/>
          <w:color w:val="24313A"/>
          <w:sz w:val="21"/>
        </w:rPr>
        <w:t>Scientific interpretation: Seratrodast competitively antagonizes TP receptors and inhibits responses to thromboxane-like agonists.  Receptor blockade can reduce thromboxane-mediated airway effects.  The magnitude of clinical benefit depends on disease biology, dose, background therapy, and patient selection.</w:t>
      </w:r>
    </w:p>
    <w:p>
      <w:pPr>
        <w:spacing w:after="140" w:line="283" w:lineRule="auto"/>
      </w:pPr>
      <w:r>
        <w:rPr>
          <w:rFonts w:ascii="Aptos" w:hAnsi="Aptos"/>
          <w:b w:val="0"/>
          <w:i w:val="0"/>
          <w:color w:val="24313A"/>
          <w:sz w:val="21"/>
        </w:rPr>
        <w:t>Scientific interpretation: Studies have examined airway hyperresponsiveness, FEV1, peak-flow variability, symptoms, rescue use, sputum amount and viscosity, mucociliary clearance, and mediator biomarkers.  This breadth helps explain potential clinical and physiological effects.  Most studies were small or short and do not establish broad long-term outcome benefit.</w:t>
      </w:r>
    </w:p>
    <w:p>
      <w:pPr>
        <w:spacing w:after="140" w:line="283" w:lineRule="auto"/>
      </w:pPr>
      <w:r>
        <w:rPr>
          <w:rFonts w:ascii="Aptos" w:hAnsi="Aptos"/>
          <w:b w:val="0"/>
          <w:i w:val="0"/>
          <w:color w:val="24313A"/>
          <w:sz w:val="21"/>
        </w:rPr>
        <w:t>Scientific interpretation: Recent experimental work describes anti-ferroptotic activity after reduction to a hydroquinone form.  The finding may expand scientific interest in the molecule.  It is preclinical and must not be used to support asthma efficacy, organ protection, or off-label use.</w:t>
      </w:r>
    </w:p>
    <w:p>
      <w:r>
        <w:br w:type="page"/>
      </w:r>
    </w:p>
    <w:p>
      <w:pPr>
        <w:pStyle w:val="Heading1"/>
        <w:keepNext/>
      </w:pPr>
      <w:r>
        <w:rPr>
          <w:rFonts w:ascii="Aptos" w:hAnsi="Aptos"/>
          <w:b/>
          <w:i w:val="0"/>
          <w:color w:val="18324A"/>
          <w:sz w:val="32"/>
        </w:rPr>
        <w:t>5. Pharmacodynamics: Airway Response and Biomarker Questions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Pharmacodynamic evidence helps explain variability in clinical response.</w:t>
            </w:r>
          </w:p>
        </w:tc>
      </w:tr>
    </w:tbl>
    <w:p>
      <w:pPr>
        <w:spacing w:after="40"/>
      </w:pPr>
    </w:p>
    <w:p>
      <w:pPr>
        <w:spacing w:after="140" w:line="283" w:lineRule="auto"/>
      </w:pPr>
      <w:r>
        <w:rPr>
          <w:rFonts w:ascii="Aptos" w:hAnsi="Aptos"/>
          <w:b w:val="0"/>
          <w:i w:val="0"/>
          <w:color w:val="24313A"/>
          <w:sz w:val="21"/>
        </w:rPr>
        <w:t>Scientific interpretation: A phase II population PK/PD analysis found a concentration-related increase in FEV1 at 120 mg in the studied population.  This supports a pharmacological exposure-response relationship.  The studied dose and response cannot be converted into an India dosing recommendation without the approved package insert.</w:t>
      </w:r>
    </w:p>
    <w:p>
      <w:pPr>
        <w:spacing w:after="140" w:line="283" w:lineRule="auto"/>
      </w:pPr>
      <w:r>
        <w:rPr>
          <w:rFonts w:ascii="Aptos" w:hAnsi="Aptos"/>
          <w:b w:val="0"/>
          <w:i w:val="0"/>
          <w:color w:val="24313A"/>
          <w:sz w:val="21"/>
        </w:rPr>
        <w:t>Scientific interpretation: A small biomarker study suggested that patients with markedly high baseline urinary 11-dehydrothromboxane B2 could show stronger response.  This raises a biologically plausible patient-selection hypothesis.  The finding is exploratory and does not establish a validated clinical test.</w:t>
      </w:r>
    </w:p>
    <w:p>
      <w:pPr>
        <w:spacing w:after="140" w:line="283" w:lineRule="auto"/>
      </w:pPr>
      <w:r>
        <w:rPr>
          <w:rFonts w:ascii="Aptos" w:hAnsi="Aptos"/>
          <w:b w:val="0"/>
          <w:i w:val="0"/>
          <w:color w:val="24313A"/>
          <w:sz w:val="21"/>
        </w:rPr>
        <w:t>Scientific interpretation: A small study reported reduced airway hyperresponsiveness without significant change in exhaled nitric oxide or sputum eosinophil percentage.  This suggests effects may not be captured by common eosinophilic markers.  It also reinforces that TP antagonism should not be assumed to replace anti-inflammatory controller therapy.</w:t>
      </w:r>
    </w:p>
    <w:p>
      <w:r>
        <w:br w:type="page"/>
      </w:r>
    </w:p>
    <w:p>
      <w:pPr>
        <w:pStyle w:val="Heading1"/>
        <w:keepNext/>
      </w:pPr>
      <w:r>
        <w:rPr>
          <w:rFonts w:ascii="Aptos" w:hAnsi="Aptos"/>
          <w:b/>
          <w:i w:val="0"/>
          <w:color w:val="18324A"/>
          <w:sz w:val="32"/>
        </w:rPr>
        <w:t>6. Pharmacokinetics: From Oral Dose to Clinical Exposure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PK helps an HCP understand delayed peak, daily use, and special-population caution.</w:t>
            </w:r>
          </w:p>
        </w:tc>
      </w:tr>
    </w:tbl>
    <w:p>
      <w:pPr>
        <w:spacing w:after="40"/>
      </w:pPr>
    </w:p>
    <w:p>
      <w:pPr>
        <w:spacing w:after="140" w:line="283" w:lineRule="auto"/>
      </w:pPr>
      <w:r>
        <w:rPr>
          <w:rFonts w:ascii="Aptos" w:hAnsi="Aptos"/>
          <w:b w:val="0"/>
          <w:i w:val="0"/>
          <w:color w:val="24313A"/>
          <w:sz w:val="21"/>
        </w:rPr>
        <w:t>Scientific interpretation: Japanese information describes a delayed time to maximum concentration of approximately 7.4 hours and a terminal half-life of approximately 25 hours after an 80-mg dose in healthy men.  The profile is compatible with once-daily administration in the Japanese context.  Exact India dose and meal timing remain package-insert controlled.</w:t>
      </w:r>
    </w:p>
    <w:p>
      <w:pPr>
        <w:spacing w:after="140" w:line="283" w:lineRule="auto"/>
      </w:pPr>
      <w:r>
        <w:rPr>
          <w:rFonts w:ascii="Aptos" w:hAnsi="Aptos"/>
          <w:b w:val="0"/>
          <w:i w:val="0"/>
          <w:color w:val="24313A"/>
          <w:sz w:val="21"/>
        </w:rPr>
        <w:t>Scientific interpretation: Japanese data report no meaningful accumulation after 80 mg once daily for seven days.  This supports a relatively predictable repeat-dose profile under studied conditions.  It does not eliminate risk in hepatic impairment, older adults, or unstudied combinations.</w:t>
      </w:r>
    </w:p>
    <w:p>
      <w:pPr>
        <w:spacing w:after="140" w:line="283" w:lineRule="auto"/>
      </w:pPr>
      <w:r>
        <w:rPr>
          <w:rFonts w:ascii="Aptos" w:hAnsi="Aptos"/>
          <w:b w:val="0"/>
          <w:i w:val="0"/>
          <w:color w:val="24313A"/>
          <w:sz w:val="21"/>
        </w:rPr>
        <w:t>Scientific interpretation: Population PK associated clearance and distribution parameters with body weight, while Japanese information reports higher exposure and longer half-life in older adults.  These observations support careful clinical assessment.  Validated India dose-adjustment rules require the local label.</w:t>
      </w:r>
    </w:p>
    <w:tbl>
      <w:tblPr>
        <w:tblStyle w:val="TableGrid"/>
        <w:tblW w:type="auto" w:w="0"/>
        <w:jc w:val="center"/>
        <w:tblLayout w:type="fixed"/>
        <w:tblLook w:firstColumn="1" w:firstRow="1" w:lastColumn="0" w:lastRow="0" w:noHBand="0" w:noVBand="1" w:val="04A0"/>
      </w:tblPr>
      <w:tblGrid>
        <w:gridCol w:w="1728"/>
        <w:gridCol w:w="3672"/>
        <w:gridCol w:w="3600"/>
      </w:tblGrid>
      <w:tr>
        <w:trPr>
          <w:tblHeader w:val="true"/>
        </w:trPr>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PK dimension</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Reported finding</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Clinical meaning</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Tmax</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Approximately 7.4 hours in a Japanese single-dose study</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Not a rapid-relief medicine</w:t>
            </w:r>
          </w:p>
        </w:tc>
      </w:tr>
      <w:tr>
        <w:tc>
          <w:tcPr>
            <w:tcW w:type="dxa" w:w="172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Terminal half-life</w:t>
            </w:r>
          </w:p>
        </w:tc>
        <w:tc>
          <w:tcPr>
            <w:tcW w:type="dxa" w:w="367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Approximately 25 hours</w:t>
            </w:r>
          </w:p>
        </w:tc>
        <w:tc>
          <w:tcPr>
            <w:tcW w:type="dxa" w:w="36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Supports daily exposure in Japan-label context</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Repeat dosing</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No meaningful accumulation reported over 7 days</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Does not remove special-population caution</w:t>
            </w:r>
          </w:p>
        </w:tc>
      </w:tr>
      <w:tr>
        <w:tc>
          <w:tcPr>
            <w:tcW w:type="dxa" w:w="172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 PK</w:t>
            </w:r>
          </w:p>
        </w:tc>
        <w:tc>
          <w:tcPr>
            <w:tcW w:type="dxa" w:w="367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Linear in an 8-week phase II study; parameters associated with body weight</w:t>
            </w:r>
          </w:p>
        </w:tc>
        <w:tc>
          <w:tcPr>
            <w:tcW w:type="dxa" w:w="36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Exposure-response evidence is contextual, not dosing authority</w:t>
            </w:r>
          </w:p>
        </w:tc>
      </w:tr>
      <w:tr>
        <w:tc>
          <w:tcPr>
            <w:tcW w:type="dxa" w:w="172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Elderly</w:t>
            </w:r>
          </w:p>
        </w:tc>
        <w:tc>
          <w:tcPr>
            <w:tcW w:type="dxa" w:w="367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Higher exposure and longer half-life in Japanese information</w:t>
            </w:r>
          </w:p>
        </w:tc>
        <w:tc>
          <w:tcPr>
            <w:tcW w:type="dxa" w:w="36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Requires careful local-label review</w:t>
            </w:r>
          </w:p>
        </w:tc>
      </w:tr>
    </w:tbl>
    <w:p>
      <w:pPr>
        <w:spacing w:after="40"/>
      </w:pPr>
    </w:p>
    <w:p>
      <w:r>
        <w:br w:type="page"/>
      </w:r>
    </w:p>
    <w:p>
      <w:pPr>
        <w:pStyle w:val="Heading1"/>
        <w:keepNext/>
      </w:pPr>
      <w:r>
        <w:rPr>
          <w:rFonts w:ascii="Aptos" w:hAnsi="Aptos"/>
          <w:b/>
          <w:i w:val="0"/>
          <w:color w:val="18324A"/>
          <w:sz w:val="32"/>
        </w:rPr>
        <w:t>7. Approved Role and the Meaning of Add-On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verified India indication is narrow and must remain central.</w:t>
            </w:r>
          </w:p>
        </w:tc>
      </w:tr>
    </w:tbl>
    <w:p>
      <w:pPr>
        <w:spacing w:after="40"/>
      </w:pPr>
    </w:p>
    <w:p>
      <w:pPr>
        <w:spacing w:after="140" w:line="283" w:lineRule="auto"/>
      </w:pPr>
      <w:r>
        <w:rPr>
          <w:rFonts w:ascii="Aptos" w:hAnsi="Aptos"/>
          <w:b w:val="0"/>
          <w:i w:val="0"/>
          <w:color w:val="24313A"/>
          <w:sz w:val="21"/>
        </w:rPr>
        <w:t>Scientific interpretation: Seratrodast 40-mg and 80-mg tablets are listed as approved in India as add-on therapy in bronchial asthma.  This supports an adjunctive, not replacement, treatment concept.  It does not define exact dose, age, background therapy, contraindications, or duration.</w:t>
      </w:r>
    </w:p>
    <w:p>
      <w:pPr>
        <w:spacing w:after="140" w:line="283" w:lineRule="auto"/>
      </w:pPr>
      <w:r>
        <w:rPr>
          <w:rFonts w:ascii="Aptos" w:hAnsi="Aptos"/>
          <w:b w:val="0"/>
          <w:i w:val="0"/>
          <w:color w:val="24313A"/>
          <w:sz w:val="21"/>
        </w:rPr>
        <w:t>Scientific interpretation: Foundational asthma care and appropriate inhaled corticosteroid-containing therapy should be assessed before considering an adjunct.  Add-on treatment should address a defined residual problem and be reviewed for benefit.  Seratrodast should not be positioned as monotherapy or as a substitute for rescue treatment.</w:t>
      </w:r>
    </w:p>
    <w:p>
      <w:pPr>
        <w:spacing w:after="140" w:line="283" w:lineRule="auto"/>
      </w:pPr>
      <w:r>
        <w:rPr>
          <w:rFonts w:ascii="Aptos" w:hAnsi="Aptos"/>
          <w:b w:val="0"/>
          <w:i w:val="0"/>
          <w:color w:val="24313A"/>
          <w:sz w:val="21"/>
        </w:rPr>
        <w:t>Scientific interpretation: Older studies evaluated varying doses and populations, sometimes before current asthma strategies were established.  They help characterize the molecule's effects.  They do not automatically define contemporary guideline placement or India-approved use.</w:t>
      </w:r>
    </w:p>
    <w:p>
      <w:r>
        <w:br w:type="page"/>
      </w:r>
    </w:p>
    <w:p>
      <w:pPr>
        <w:pStyle w:val="Heading1"/>
        <w:keepNext/>
      </w:pPr>
      <w:r>
        <w:rPr>
          <w:rFonts w:ascii="Aptos" w:hAnsi="Aptos"/>
          <w:b/>
          <w:i w:val="0"/>
          <w:color w:val="18324A"/>
          <w:sz w:val="32"/>
        </w:rPr>
        <w:t>8. Dosage, Administration, and the Acute-Asthma Boundary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operational chapter must prevent the most dangerous misunderstanding: this is not a rescue medicine.</w:t>
            </w:r>
          </w:p>
        </w:tc>
      </w:tr>
    </w:tbl>
    <w:p>
      <w:pPr>
        <w:spacing w:after="40"/>
      </w:pPr>
    </w:p>
    <w:p>
      <w:pPr>
        <w:spacing w:after="140" w:line="283" w:lineRule="auto"/>
      </w:pPr>
      <w:r>
        <w:rPr>
          <w:rFonts w:ascii="Aptos" w:hAnsi="Aptos"/>
          <w:b w:val="0"/>
          <w:i w:val="0"/>
          <w:color w:val="24313A"/>
          <w:sz w:val="21"/>
        </w:rPr>
        <w:t>Scientific interpretation: The public India approval record verifies 40-mg and 80-mg tablet strengths but does not provide complete posology; Japanese information describes 80 mg once daily after the evening meal.  The Japanese schedule provides scientific context.  Only the current India package insert can define India dosing and administration.</w:t>
      </w:r>
    </w:p>
    <w:p>
      <w:pPr>
        <w:spacing w:after="140" w:line="283" w:lineRule="auto"/>
      </w:pPr>
      <w:r>
        <w:rPr>
          <w:rFonts w:ascii="Aptos" w:hAnsi="Aptos"/>
          <w:b w:val="0"/>
          <w:i w:val="0"/>
          <w:color w:val="24313A"/>
          <w:sz w:val="21"/>
        </w:rPr>
        <w:t>Scientific interpretation: Seratrodast does not rapidly reverse established bronchospasm.  Patients with worsening symptoms or an acute severe attack require appropriate reliever and emergency management.  Delayed use of effective acute therapy is a foreseeable safety risk.</w:t>
      </w:r>
    </w:p>
    <w:p>
      <w:pPr>
        <w:spacing w:after="140" w:line="283" w:lineRule="auto"/>
      </w:pPr>
      <w:r>
        <w:rPr>
          <w:rFonts w:ascii="Aptos" w:hAnsi="Aptos"/>
          <w:b w:val="0"/>
          <w:i w:val="0"/>
          <w:color w:val="24313A"/>
          <w:sz w:val="21"/>
        </w:rPr>
        <w:t>Scientific interpretation: An add-on medicine should be continued only when a clinically meaningful objective and response are identifiable.  Symptoms, reliever use, lung function, exacerbation risk, and tolerability can inform review.  No response threshold should be invented without approved guidance.</w:t>
      </w:r>
    </w:p>
    <w:p>
      <w:r>
        <w:br w:type="page"/>
      </w:r>
    </w:p>
    <w:p>
      <w:pPr>
        <w:pStyle w:val="Heading1"/>
        <w:keepNext/>
      </w:pPr>
      <w:r>
        <w:rPr>
          <w:rFonts w:ascii="Aptos" w:hAnsi="Aptos"/>
          <w:b/>
          <w:i w:val="0"/>
          <w:color w:val="18324A"/>
          <w:sz w:val="32"/>
        </w:rPr>
        <w:t>9. Clinical Development Programme: Evidence Map</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map prevents a small number of positive findings from being mistaken for a modern outcomes programme.</w:t>
            </w:r>
          </w:p>
        </w:tc>
      </w:tr>
    </w:tbl>
    <w:p>
      <w:pPr>
        <w:spacing w:after="40"/>
      </w:pPr>
    </w:p>
    <w:p>
      <w:pPr>
        <w:spacing w:after="140" w:line="283" w:lineRule="auto"/>
      </w:pPr>
      <w:r>
        <w:rPr>
          <w:rFonts w:ascii="Aptos" w:hAnsi="Aptos"/>
          <w:b w:val="0"/>
          <w:i w:val="0"/>
          <w:color w:val="24313A"/>
          <w:sz w:val="21"/>
        </w:rPr>
        <w:t>Scientific interpretation: The programme includes Japanese regulatory experience, a phase II population PK/PD study, placebo-controlled studies of airway secretion and hyperresponsiveness, biomarker-response work, and an Indian comparative trial with montelukast.  Together they characterize mechanism, selected clinical effects, and local comparative evidence.  The programme is not equivalent to a contemporary large exacerbation-outcomes development programme.</w:t>
      </w:r>
    </w:p>
    <w:p>
      <w:pPr>
        <w:spacing w:after="140" w:line="283" w:lineRule="auto"/>
      </w:pPr>
      <w:r>
        <w:rPr>
          <w:rFonts w:ascii="Aptos" w:hAnsi="Aptos"/>
          <w:b w:val="0"/>
          <w:i w:val="0"/>
          <w:color w:val="24313A"/>
          <w:sz w:val="21"/>
        </w:rPr>
        <w:t>Scientific interpretation: The double-blind, double-dummy Indian study compared seratrodast 80 mg with montelukast 10 mg in adults continuing low-dose inhaled corticosteroid therapy.  This directly informs India scientific context.  Its short 28-day duration limits conclusions about exacerbations, long-term control, and safety.</w:t>
      </w:r>
    </w:p>
    <w:p>
      <w:pPr>
        <w:spacing w:after="140" w:line="283" w:lineRule="auto"/>
      </w:pPr>
      <w:r>
        <w:rPr>
          <w:rFonts w:ascii="Aptos" w:hAnsi="Aptos"/>
          <w:b w:val="0"/>
          <w:i w:val="0"/>
          <w:color w:val="24313A"/>
          <w:sz w:val="21"/>
        </w:rPr>
        <w:t>Scientific interpretation: Symptoms, PEF, FEV1, sputum parameters, mucociliary clearance, airway hyperresponsiveness, and biomarkers feature prominently.  These endpoints can be clinically and mechanistically informative.  They should not be represented as proof of hospitalization, mortality, or severe-exacerbation reduction.</w:t>
      </w:r>
    </w:p>
    <w:p>
      <w:r>
        <w:br w:type="page"/>
      </w:r>
    </w:p>
    <w:p>
      <w:pPr>
        <w:pStyle w:val="Heading1"/>
        <w:keepNext/>
      </w:pPr>
      <w:r>
        <w:rPr>
          <w:rFonts w:ascii="Aptos" w:hAnsi="Aptos"/>
          <w:b/>
          <w:i w:val="0"/>
          <w:color w:val="18324A"/>
          <w:sz w:val="32"/>
        </w:rPr>
        <w:t>10. Study Profile: Phase II Population PK/PD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How did exposure relate to lung-function response in mild-to-moderate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placebo-controlled, 15-centre phase 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183 patients with mild-to-moderate asthma</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Placebo, seratrodast 80 mg daily, or 120 mg daily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8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PK model</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Two-compartment model with zero-order input and first-order elimination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PD 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At 120 mg, FEV1 improvement correlated linearly with plasma concentration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9357394</w:t>
            </w:r>
          </w:p>
        </w:tc>
      </w:tr>
    </w:tbl>
    <w:p>
      <w:pPr>
        <w:spacing w:after="40"/>
      </w:pPr>
    </w:p>
    <w:p>
      <w:pPr>
        <w:spacing w:after="140" w:line="283" w:lineRule="auto"/>
      </w:pPr>
      <w:r>
        <w:rPr>
          <w:rFonts w:ascii="Aptos" w:hAnsi="Aptos"/>
          <w:b w:val="0"/>
          <w:i w:val="0"/>
          <w:color w:val="24313A"/>
          <w:sz w:val="21"/>
        </w:rPr>
        <w:t>Scientific interpretation: The study characterized linear PK and an exposure-response relationship for FEV1 at 120 mg.  It demonstrates pharmacological activity in the studied population.  It does not establish the current India-approved dose or superiority to modern controller strategies.</w:t>
      </w:r>
    </w:p>
    <w:p>
      <w:pPr>
        <w:spacing w:after="140" w:line="283" w:lineRule="auto"/>
      </w:pPr>
      <w:r>
        <w:rPr>
          <w:rFonts w:ascii="Aptos" w:hAnsi="Aptos"/>
          <w:b w:val="0"/>
          <w:i w:val="0"/>
          <w:color w:val="24313A"/>
          <w:sz w:val="21"/>
        </w:rPr>
        <w:t>Scientific interpretation: Initial disease severity influenced the modeled concentration-effect slope.  This suggests baseline physiology may affect observed response.  The model is not a validated patient-selection tool.</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is the principal formal PK/PD trial. It supports mechanistic and dose-development understanding but must not be used as a stand-alone prescribing guide.</w:t>
            </w:r>
          </w:p>
        </w:tc>
      </w:tr>
    </w:tbl>
    <w:p>
      <w:pPr>
        <w:spacing w:after="40"/>
      </w:pPr>
    </w:p>
    <w:p>
      <w:r>
        <w:br w:type="page"/>
      </w:r>
    </w:p>
    <w:p>
      <w:pPr>
        <w:pStyle w:val="Heading1"/>
        <w:keepNext/>
      </w:pPr>
      <w:r>
        <w:rPr>
          <w:rFonts w:ascii="Aptos" w:hAnsi="Aptos"/>
          <w:b/>
          <w:i w:val="0"/>
          <w:color w:val="18324A"/>
          <w:sz w:val="32"/>
        </w:rPr>
        <w:t>11. Study Profile: Placebo-Controlled Sputum and Mucociliary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Can TP-receptor blockade improve airway secretion characteristics even when conventional lung-function changes are limited?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double-blind randomized placebo-controlled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45 evaluable patients with mild-to-moderate asthma and &gt;20 g/day sputum</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40 mg/day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Comparator</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Placebo</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6 weeks after 2-week run-in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findings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No significant FEV1 or PEF difference; reductions in PEF variability, daytime symptoms, rescue beta2-agonist use, sputum amount/viscosity, and improved nasal clearance time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10893362</w:t>
            </w:r>
          </w:p>
        </w:tc>
      </w:tr>
    </w:tbl>
    <w:p>
      <w:pPr>
        <w:spacing w:after="40"/>
      </w:pPr>
    </w:p>
    <w:p>
      <w:pPr>
        <w:spacing w:after="140" w:line="283" w:lineRule="auto"/>
      </w:pPr>
      <w:r>
        <w:rPr>
          <w:rFonts w:ascii="Aptos" w:hAnsi="Aptos"/>
          <w:b w:val="0"/>
          <w:i w:val="0"/>
          <w:color w:val="24313A"/>
          <w:sz w:val="21"/>
        </w:rPr>
        <w:t>Scientific interpretation: It separates airway secretion and symptom effects from large changes in standard pulmonary-function measures.  This may be relevant to selected patients with prominent sputum symptoms.  The selected population was small and the findings should not be generalized to all asthma.</w:t>
      </w:r>
    </w:p>
    <w:p>
      <w:pPr>
        <w:spacing w:after="140" w:line="283" w:lineRule="auto"/>
      </w:pPr>
      <w:r>
        <w:rPr>
          <w:rFonts w:ascii="Aptos" w:hAnsi="Aptos"/>
          <w:b w:val="0"/>
          <w:i w:val="0"/>
          <w:color w:val="24313A"/>
          <w:sz w:val="21"/>
        </w:rPr>
        <w:t>Scientific interpretation: FEV1 and PEF changes were not significantly different between groups.  This limitation prevents an exaggerated lung-function narrative.  Positive secondary findings must remain contextualized by multiplicity and study size.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trial supports selected secretion, symptom, and mucociliary effects, while also demonstrating minimal effect on key pulmonary-function measures.</w:t>
            </w:r>
          </w:p>
        </w:tc>
      </w:tr>
    </w:tbl>
    <w:p>
      <w:pPr>
        <w:spacing w:after="40"/>
      </w:pPr>
    </w:p>
    <w:p>
      <w:r>
        <w:br w:type="page"/>
      </w:r>
    </w:p>
    <w:p>
      <w:pPr>
        <w:pStyle w:val="Heading1"/>
        <w:keepNext/>
      </w:pPr>
      <w:r>
        <w:rPr>
          <w:rFonts w:ascii="Aptos" w:hAnsi="Aptos"/>
          <w:b/>
          <w:i w:val="0"/>
          <w:color w:val="18324A"/>
          <w:sz w:val="32"/>
        </w:rPr>
        <w:t>12. Study Profile: Airway Hyperresponsiveness and Inflammatory Markers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Does seratrodast alter airway responsiveness independently of common eosinophilic markers?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Small prospective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14 patients with asthma</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80 mg once daily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4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Findings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Airway hyperresponsiveness decreased; exhaled nitric oxide and sputum eosinophil percentage did not change significantly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PMID 9844991</w:t>
            </w:r>
          </w:p>
        </w:tc>
      </w:tr>
    </w:tbl>
    <w:p>
      <w:pPr>
        <w:spacing w:after="40"/>
      </w:pPr>
    </w:p>
    <w:p>
      <w:pPr>
        <w:spacing w:after="140" w:line="283" w:lineRule="auto"/>
      </w:pPr>
      <w:r>
        <w:rPr>
          <w:rFonts w:ascii="Aptos" w:hAnsi="Aptos"/>
          <w:b w:val="0"/>
          <w:i w:val="0"/>
          <w:color w:val="24313A"/>
          <w:sz w:val="21"/>
        </w:rPr>
        <w:t>Scientific interpretation: Airway responsiveness improved without parallel change in the measured eosinophilic markers.  The result is consistent with a non-eosinophil-specific pathway effect.  The small uncontrolled design limits causal and clinical interpretation.</w:t>
      </w:r>
    </w:p>
    <w:p>
      <w:pPr>
        <w:spacing w:after="140" w:line="283" w:lineRule="auto"/>
      </w:pPr>
      <w:r>
        <w:rPr>
          <w:rFonts w:ascii="Aptos" w:hAnsi="Aptos"/>
          <w:b w:val="0"/>
          <w:i w:val="0"/>
          <w:color w:val="24313A"/>
          <w:sz w:val="21"/>
        </w:rPr>
        <w:t>Scientific interpretation: The study may help explain a mechanistically distinct add-on rationale.  It does not show replacement of inhaled corticosteroids or establish a biomarker-defined treatment pathway.  The findings remain supportive and exploratory.</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enriches mechanistic understanding but is not adequate for a broad efficacy or anti-inflammatory claim.</w:t>
            </w:r>
          </w:p>
        </w:tc>
      </w:tr>
    </w:tbl>
    <w:p>
      <w:pPr>
        <w:spacing w:after="40"/>
      </w:pPr>
    </w:p>
    <w:p>
      <w:r>
        <w:br w:type="page"/>
      </w:r>
    </w:p>
    <w:p>
      <w:pPr>
        <w:pStyle w:val="Heading1"/>
        <w:keepNext/>
      </w:pPr>
      <w:r>
        <w:rPr>
          <w:rFonts w:ascii="Aptos" w:hAnsi="Aptos"/>
          <w:b/>
          <w:i w:val="0"/>
          <w:color w:val="18324A"/>
          <w:sz w:val="32"/>
        </w:rPr>
        <w:t>13. Study Profile: Thromboxane-Metabolite Response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Could thromboxane-metabolite levels identify patients more likely to respond?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Small clinical biomarker-response investigation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Patients with bronchial asthma receiving seratrodast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Biomarkers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TXB2 and 11-dehydrothromboxane B2 in urine and sputum</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 small subgroup of marked responders had higher baseline urinary 11-dehydrothromboxane B2</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11517517</w:t>
            </w:r>
          </w:p>
        </w:tc>
      </w:tr>
    </w:tbl>
    <w:p>
      <w:pPr>
        <w:spacing w:after="40"/>
      </w:pPr>
    </w:p>
    <w:p>
      <w:pPr>
        <w:spacing w:after="140" w:line="283" w:lineRule="auto"/>
      </w:pPr>
      <w:r>
        <w:rPr>
          <w:rFonts w:ascii="Aptos" w:hAnsi="Aptos"/>
          <w:b w:val="0"/>
          <w:i w:val="0"/>
          <w:color w:val="24313A"/>
          <w:sz w:val="21"/>
        </w:rPr>
        <w:t>Scientific interpretation: Higher baseline urinary thromboxane metabolite levels might identify a subgroup with stronger response.  This aligns with the molecule's pathway.  The observation is based on a very small subgroup and requires prospective validation.</w:t>
      </w:r>
    </w:p>
    <w:p>
      <w:pPr>
        <w:spacing w:after="140" w:line="283" w:lineRule="auto"/>
      </w:pPr>
      <w:r>
        <w:rPr>
          <w:rFonts w:ascii="Aptos" w:hAnsi="Aptos"/>
          <w:b w:val="0"/>
          <w:i w:val="0"/>
          <w:color w:val="24313A"/>
          <w:sz w:val="21"/>
        </w:rPr>
        <w:t>Scientific interpretation: No validated threshold, test strategy, or outcome-guided algorithm was established.  The finding belongs in a future-research discussion.  It must not be presented as a diagnostic or prescribing biomarker.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suggests a precision-medicine hypothesis but does not provide a clinically validated selection tool.</w:t>
            </w:r>
          </w:p>
        </w:tc>
      </w:tr>
    </w:tbl>
    <w:p>
      <w:pPr>
        <w:spacing w:after="40"/>
      </w:pPr>
    </w:p>
    <w:p>
      <w:r>
        <w:br w:type="page"/>
      </w:r>
    </w:p>
    <w:p>
      <w:pPr>
        <w:pStyle w:val="Heading1"/>
        <w:keepNext/>
      </w:pPr>
      <w:r>
        <w:rPr>
          <w:rFonts w:ascii="Aptos" w:hAnsi="Aptos"/>
          <w:b/>
          <w:i w:val="0"/>
          <w:color w:val="18324A"/>
          <w:sz w:val="32"/>
        </w:rPr>
        <w:t>14. Study Profile: Indian Double-Blind Comparison With Montelukast</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How did seratrodast compare with montelukast as add-on therapy in Indian adults with mild-to-moderate asthma?</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comparative double-blind double-dummy multicentre parallel-group non-inferiority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205 Indian adults with mild-to-moderate asthma continuing lowest-dose inhaled corticosteroid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Seratrodast 80 mg once daily, n=103; montelukast 10 mg once daily, n=102</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28 days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Outcomes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Asthma symptom scores, PEF, FVC, FEV1, sputum fucose, ECP, albumin, and safety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interpretation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Both groups improved from baseline; selected PEF and sputum endpoints favored seratrodast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IMSEAR open-access article; CDSCO NDAC record</w:t>
            </w:r>
          </w:p>
        </w:tc>
      </w:tr>
    </w:tbl>
    <w:p>
      <w:pPr>
        <w:spacing w:after="40"/>
      </w:pPr>
    </w:p>
    <w:p>
      <w:pPr>
        <w:spacing w:after="140" w:line="283" w:lineRule="auto"/>
      </w:pPr>
      <w:r>
        <w:rPr>
          <w:rFonts w:ascii="Aptos" w:hAnsi="Aptos"/>
          <w:b w:val="0"/>
          <w:i w:val="0"/>
          <w:color w:val="24313A"/>
          <w:sz w:val="21"/>
        </w:rPr>
        <w:t>Scientific interpretation: It directly evaluates seratrodast in Indian patients, on background inhaled corticosteroid therapy, against a relevant oral add-on comparator.  This gives local scientific context to the CDSCO add-on indication.  The short duration and endpoint set limit long-term and severe-outcome conclusions.</w:t>
      </w:r>
    </w:p>
    <w:p>
      <w:pPr>
        <w:spacing w:after="140" w:line="283" w:lineRule="auto"/>
      </w:pPr>
      <w:r>
        <w:rPr>
          <w:rFonts w:ascii="Aptos" w:hAnsi="Aptos"/>
          <w:b w:val="0"/>
          <w:i w:val="0"/>
          <w:color w:val="24313A"/>
          <w:sz w:val="21"/>
        </w:rPr>
        <w:t>Scientific interpretation: Results should be presented endpoint by endpoint with absolute values, denominators, and statistical framework.  The study can support defined comparative statements.  It must not be converted into a broad claim that seratrodast is superior or generally favored against montelukast.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is the most important India comparative evidence identified, but its 28-day duration requires very careful fair-balance language.</w:t>
            </w:r>
          </w:p>
        </w:tc>
      </w:tr>
    </w:tbl>
    <w:p>
      <w:pPr>
        <w:spacing w:after="40"/>
      </w:pPr>
    </w:p>
    <w:p>
      <w:r>
        <w:br w:type="page"/>
      </w:r>
    </w:p>
    <w:p>
      <w:pPr>
        <w:pStyle w:val="Heading1"/>
        <w:keepNext/>
      </w:pPr>
      <w:r>
        <w:rPr>
          <w:rFonts w:ascii="Aptos" w:hAnsi="Aptos"/>
          <w:b/>
          <w:i w:val="0"/>
          <w:color w:val="18324A"/>
          <w:sz w:val="32"/>
        </w:rPr>
        <w:t>15. Study Profile: Japanese Regulatory Clinical Experience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does the broader Japanese approval experience contribute?</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Japanese clinical studies included 514 patients with bronchial asthma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Regimens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Principally 80 mg once daily for 8 weeks; elderly patients could begin at 40 mg in Japanese information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Reported outcome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Moderate improvement or better reported in 251/514 patients, 48.8%</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Safety context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Preapproval liver-test abnormalities and post-marketing serious hepatic events informed regulatory warnings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Japanese product information; PMDA safety bulletin</w:t>
            </w:r>
          </w:p>
        </w:tc>
      </w:tr>
    </w:tbl>
    <w:p>
      <w:pPr>
        <w:spacing w:after="40"/>
      </w:pPr>
    </w:p>
    <w:p>
      <w:pPr>
        <w:spacing w:after="140" w:line="283" w:lineRule="auto"/>
      </w:pPr>
      <w:r>
        <w:rPr>
          <w:rFonts w:ascii="Aptos" w:hAnsi="Aptos"/>
          <w:b w:val="0"/>
          <w:i w:val="0"/>
          <w:color w:val="24313A"/>
          <w:sz w:val="21"/>
        </w:rPr>
        <w:t>Scientific interpretation: It broadens the exposure base beyond individual published studies and documents the historical basis for Japanese use.  It is important for understanding efficacy and safety context.  The outcome definitions and historical treatment context may not align with contemporary trial standards.</w:t>
      </w:r>
    </w:p>
    <w:p>
      <w:pPr>
        <w:spacing w:after="140" w:line="283" w:lineRule="auto"/>
      </w:pPr>
      <w:r>
        <w:rPr>
          <w:rFonts w:ascii="Aptos" w:hAnsi="Aptos"/>
          <w:b w:val="0"/>
          <w:i w:val="0"/>
          <w:color w:val="24313A"/>
          <w:sz w:val="21"/>
        </w:rPr>
        <w:t>Scientific interpretation: The regulatory record links preapproval liver-test abnormalities with serious post-marketing hepatic events.  This elevates liver safety from a routine adverse-event topic to a central monitoring concern.  India-specific requirements must still be verified.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Japanese regulatory experience is essential scientific context, particularly for hepatic safety, but it must remain jurisdiction-qualified.</w:t>
            </w:r>
          </w:p>
        </w:tc>
      </w:tr>
    </w:tbl>
    <w:p>
      <w:pPr>
        <w:spacing w:after="40"/>
      </w:pPr>
    </w:p>
    <w:p>
      <w:r>
        <w:br w:type="page"/>
      </w:r>
    </w:p>
    <w:p>
      <w:pPr>
        <w:pStyle w:val="Heading1"/>
        <w:keepNext/>
      </w:pPr>
      <w:r>
        <w:rPr>
          <w:rFonts w:ascii="Aptos" w:hAnsi="Aptos"/>
          <w:b/>
          <w:i w:val="0"/>
          <w:color w:val="18324A"/>
          <w:sz w:val="32"/>
        </w:rPr>
        <w:t>16. Safety Profile and the Hepatic-Risk Signal</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seratrodast monograph that does not foreground liver safety is incomplete.</w:t>
            </w:r>
          </w:p>
        </w:tc>
      </w:tr>
    </w:tbl>
    <w:p>
      <w:pPr>
        <w:spacing w:after="40"/>
      </w:pPr>
    </w:p>
    <w:p>
      <w:pPr>
        <w:spacing w:after="140" w:line="283" w:lineRule="auto"/>
      </w:pPr>
      <w:r>
        <w:rPr>
          <w:rFonts w:ascii="Aptos" w:hAnsi="Aptos"/>
          <w:b w:val="0"/>
          <w:i w:val="0"/>
          <w:color w:val="24313A"/>
          <w:sz w:val="21"/>
        </w:rPr>
        <w:t>Scientific interpretation: PMDA safety information reports liver-test abnormalities in 28 of 824 patients, or 3.4%, during preapproval trials.  This provides a quantitative signal from the regulatory dataset.  The denominator and jurisdiction must accompany the number.</w:t>
      </w:r>
    </w:p>
    <w:p>
      <w:pPr>
        <w:spacing w:after="140" w:line="283" w:lineRule="auto"/>
      </w:pPr>
      <w:r>
        <w:rPr>
          <w:rFonts w:ascii="Aptos" w:hAnsi="Aptos"/>
          <w:b w:val="0"/>
          <w:i w:val="0"/>
          <w:color w:val="24313A"/>
          <w:sz w:val="21"/>
        </w:rPr>
        <w:t>Scientific interpretation: Post-marketing reports included serious hepatic dysfunction, jaundice, fulminant hepatitis, and a fatal case in which seratrodast involvement could not be excluded.  The seriousness of these events justifies prominent monitoring and patient-counselling discussion.  Case reports do not by themselves quantify incidence or prove causality in every case.</w:t>
      </w:r>
    </w:p>
    <w:p>
      <w:pPr>
        <w:spacing w:after="140" w:line="283" w:lineRule="auto"/>
      </w:pPr>
      <w:r>
        <w:rPr>
          <w:rFonts w:ascii="Aptos" w:hAnsi="Aptos"/>
          <w:b w:val="0"/>
          <w:i w:val="0"/>
          <w:color w:val="24313A"/>
          <w:sz w:val="21"/>
        </w:rPr>
        <w:t>Scientific interpretation: Japanese information requires liver-function testing once monthly.  This is a clear risk-mitigation instruction in that jurisdiction.  Whether identical monitoring is mandated in India must be verified from the current India package insert.</w:t>
      </w:r>
    </w:p>
    <w:p>
      <w:r>
        <w:br w:type="page"/>
      </w:r>
    </w:p>
    <w:p>
      <w:pPr>
        <w:pStyle w:val="Heading1"/>
        <w:keepNext/>
      </w:pPr>
      <w:r>
        <w:rPr>
          <w:rFonts w:ascii="Aptos" w:hAnsi="Aptos"/>
          <w:b/>
          <w:i w:val="0"/>
          <w:color w:val="18324A"/>
          <w:sz w:val="32"/>
        </w:rPr>
        <w:t>17. Other Adverse Reactions, Interactions, and Special Populations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safety profile extends beyond the headline hepatic signal.</w:t>
            </w:r>
          </w:p>
        </w:tc>
      </w:tr>
    </w:tbl>
    <w:p>
      <w:pPr>
        <w:spacing w:after="40"/>
      </w:pPr>
    </w:p>
    <w:p>
      <w:pPr>
        <w:spacing w:after="140" w:line="283" w:lineRule="auto"/>
      </w:pPr>
      <w:r>
        <w:rPr>
          <w:rFonts w:ascii="Aptos" w:hAnsi="Aptos"/>
          <w:b w:val="0"/>
          <w:i w:val="0"/>
          <w:color w:val="24313A"/>
          <w:sz w:val="21"/>
        </w:rPr>
        <w:t>Scientific interpretation: Reported reactions include rash, pruritus, gastrointestinal symptoms, hematologic changes, dizziness, drowsiness, palpitations, malaise, flushing, and edema, among others.  These observations inform clinical vigilance and counselling.  India frequencies and approved wording remain unverified.</w:t>
      </w:r>
    </w:p>
    <w:p>
      <w:pPr>
        <w:spacing w:after="140" w:line="283" w:lineRule="auto"/>
      </w:pPr>
      <w:r>
        <w:rPr>
          <w:rFonts w:ascii="Aptos" w:hAnsi="Aptos"/>
          <w:b w:val="0"/>
          <w:i w:val="0"/>
          <w:color w:val="24313A"/>
          <w:sz w:val="21"/>
        </w:rPr>
        <w:t>Scientific interpretation: Japanese information advises observation with medicines associated with hemolytic anemia and describes in-vitro displacement of protein binding by aspirin.  These signals support careful medication review.  In-vitro findings do not automatically establish a clinically important interaction.</w:t>
      </w:r>
    </w:p>
    <w:p>
      <w:pPr>
        <w:spacing w:after="140" w:line="283" w:lineRule="auto"/>
      </w:pPr>
      <w:r>
        <w:rPr>
          <w:rFonts w:ascii="Aptos" w:hAnsi="Aptos"/>
          <w:b w:val="0"/>
          <w:i w:val="0"/>
          <w:color w:val="24313A"/>
          <w:sz w:val="21"/>
        </w:rPr>
        <w:t>Scientific interpretation: Japanese information highlights hepatic impairment, pregnancy, lactation, lack of pediatric trials, and increased exposure in older adults.  These considerations should shape risk assessment.  Final India recommendations require the India-approved label.</w:t>
      </w:r>
    </w:p>
    <w:p>
      <w:r>
        <w:br w:type="page"/>
      </w:r>
    </w:p>
    <w:p>
      <w:pPr>
        <w:pStyle w:val="Heading1"/>
        <w:keepNext/>
      </w:pPr>
      <w:r>
        <w:rPr>
          <w:rFonts w:ascii="Aptos" w:hAnsi="Aptos"/>
          <w:b/>
          <w:i w:val="0"/>
          <w:color w:val="18324A"/>
          <w:sz w:val="32"/>
        </w:rPr>
        <w:t>18. Current Asthma Guidelines and Place in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modern monograph must place historical molecule evidence inside contemporary asthma care.</w:t>
            </w:r>
          </w:p>
        </w:tc>
      </w:tr>
    </w:tbl>
    <w:p>
      <w:pPr>
        <w:spacing w:after="40"/>
      </w:pPr>
    </w:p>
    <w:p>
      <w:pPr>
        <w:spacing w:after="140" w:line="283" w:lineRule="auto"/>
      </w:pPr>
      <w:r>
        <w:rPr>
          <w:rFonts w:ascii="Aptos" w:hAnsi="Aptos"/>
          <w:b w:val="0"/>
          <w:i w:val="0"/>
          <w:color w:val="24313A"/>
          <w:sz w:val="21"/>
        </w:rPr>
        <w:t>Scientific interpretation: Current international asthma strategies emphasize inhaled corticosteroid-containing treatment, reliever strategy, risk reduction, adherence, inhaler technique, and phenotype-directed escalation.  This framework should remain the foundation of treatment selection.  Seratrodast is not established as a mainstream preferred pathway in the current GINA strategy.</w:t>
      </w:r>
    </w:p>
    <w:p>
      <w:pPr>
        <w:spacing w:after="140" w:line="283" w:lineRule="auto"/>
      </w:pPr>
      <w:r>
        <w:rPr>
          <w:rFonts w:ascii="Aptos" w:hAnsi="Aptos"/>
          <w:b w:val="0"/>
          <w:i w:val="0"/>
          <w:color w:val="24313A"/>
          <w:sz w:val="21"/>
        </w:rPr>
        <w:t>Scientific interpretation: The verified India role is add-on therapy in bronchial asthma, which may be considered only within local approval and individualized care.  A distinct mechanism can be scientifically relevant when a defined residual need exists.  Absence from mainstream guidelines requires restrained positioning, not dismissal or exaggeration.</w:t>
      </w:r>
    </w:p>
    <w:p>
      <w:pPr>
        <w:spacing w:after="140" w:line="283" w:lineRule="auto"/>
      </w:pPr>
      <w:r>
        <w:rPr>
          <w:rFonts w:ascii="Aptos" w:hAnsi="Aptos"/>
          <w:b w:val="0"/>
          <w:i w:val="0"/>
          <w:color w:val="24313A"/>
          <w:sz w:val="21"/>
        </w:rPr>
        <w:t>Scientific interpretation: Patients needing rapid relief, those with active or significant hepatic disease, those without optimized foundational therapy, and those for whom evidence-based alternatives better address future risk may require another strategy.  Explicit unsuitable-patient discussion improves safe selection.  Exact contraindications must still follow the India package insert.</w:t>
      </w:r>
    </w:p>
    <w:p>
      <w:r>
        <w:br w:type="page"/>
      </w:r>
    </w:p>
    <w:p>
      <w:pPr>
        <w:pStyle w:val="Heading1"/>
        <w:keepNext/>
      </w:pPr>
      <w:r>
        <w:rPr>
          <w:rFonts w:ascii="Aptos" w:hAnsi="Aptos"/>
          <w:b/>
          <w:i w:val="0"/>
          <w:color w:val="18324A"/>
          <w:sz w:val="32"/>
        </w:rPr>
        <w:t>19. Practical HCP Assessment and Monitoring Framework</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practical framework should help the HCP define a reason to start, a reason to continue, and a reason to stop.</w:t>
            </w:r>
          </w:p>
        </w:tc>
      </w:tr>
    </w:tbl>
    <w:p>
      <w:pPr>
        <w:spacing w:after="40"/>
      </w:pPr>
    </w:p>
    <w:p>
      <w:pPr>
        <w:spacing w:after="140" w:line="283" w:lineRule="auto"/>
      </w:pPr>
      <w:r>
        <w:rPr>
          <w:rFonts w:ascii="Aptos" w:hAnsi="Aptos"/>
          <w:b w:val="0"/>
          <w:i w:val="0"/>
          <w:color w:val="24313A"/>
          <w:sz w:val="21"/>
        </w:rPr>
        <w:t>Scientific interpretation: Confirm asthma diagnosis, severity, control, exacerbation risk, inhaler technique, adherence, background inhaled corticosteroid-containing therapy, liver status, concomitant medicines, and the locally approved indication.  This prevents an add-on medicine from substituting for foundational assessment.  It is not a replacement for the package insert or clinical judgment.</w:t>
      </w:r>
    </w:p>
    <w:p>
      <w:pPr>
        <w:spacing w:after="140" w:line="283" w:lineRule="auto"/>
      </w:pPr>
      <w:r>
        <w:rPr>
          <w:rFonts w:ascii="Aptos" w:hAnsi="Aptos"/>
          <w:b w:val="0"/>
          <w:i w:val="0"/>
          <w:color w:val="24313A"/>
          <w:sz w:val="21"/>
        </w:rPr>
        <w:t>Scientific interpretation: Clinical response should include symptoms, reliever use, lung function where appropriate, exacerbations, tolerability, and liver-function monitoring according to the approved local requirements.  Monitoring should test whether the intended add-on objective is being met.  A lack of meaningful benefit should prompt reassessment.</w:t>
      </w:r>
    </w:p>
    <w:p>
      <w:pPr>
        <w:spacing w:after="140" w:line="283" w:lineRule="auto"/>
      </w:pPr>
      <w:r>
        <w:rPr>
          <w:rFonts w:ascii="Aptos" w:hAnsi="Aptos"/>
          <w:b w:val="0"/>
          <w:i w:val="0"/>
          <w:color w:val="24313A"/>
          <w:sz w:val="21"/>
        </w:rPr>
        <w:t>Scientific interpretation: Patients should know that seratrodast is not a rescue medicine, should continue prescribed controller therapy, should recognize worsening asthma, and should report symptoms potentially suggestive of hepatic injury.  Education is a direct safety intervention.  Final counselling wording must be approved and label-aligned.</w:t>
      </w:r>
    </w:p>
    <w:p>
      <w:pPr>
        <w:pStyle w:val="ListBullet"/>
        <w:spacing w:after="80" w:line="269" w:lineRule="auto"/>
      </w:pPr>
      <w:r>
        <w:rPr>
          <w:rFonts w:ascii="Aptos" w:hAnsi="Aptos"/>
          <w:b w:val="0"/>
          <w:i w:val="0"/>
          <w:color w:val="24313A"/>
          <w:sz w:val="19"/>
        </w:rPr>
        <w:t>Verify optimized inhaled corticosteroid-containing treatment.</w:t>
      </w:r>
    </w:p>
    <w:p>
      <w:pPr>
        <w:pStyle w:val="ListBullet"/>
        <w:spacing w:after="80" w:line="269" w:lineRule="auto"/>
      </w:pPr>
      <w:r>
        <w:rPr>
          <w:rFonts w:ascii="Aptos" w:hAnsi="Aptos"/>
          <w:b w:val="0"/>
          <w:i w:val="0"/>
          <w:color w:val="24313A"/>
          <w:sz w:val="19"/>
        </w:rPr>
        <w:t>Review liver history and baseline testing requirements.</w:t>
      </w:r>
    </w:p>
    <w:p>
      <w:pPr>
        <w:pStyle w:val="ListBullet"/>
        <w:spacing w:after="80" w:line="269" w:lineRule="auto"/>
      </w:pPr>
      <w:r>
        <w:rPr>
          <w:rFonts w:ascii="Aptos" w:hAnsi="Aptos"/>
          <w:b w:val="0"/>
          <w:i w:val="0"/>
          <w:color w:val="24313A"/>
          <w:sz w:val="19"/>
        </w:rPr>
        <w:t>Reconcile interacting and concomitant medicines.</w:t>
      </w:r>
    </w:p>
    <w:p>
      <w:pPr>
        <w:pStyle w:val="ListBullet"/>
        <w:spacing w:after="80" w:line="269" w:lineRule="auto"/>
      </w:pPr>
      <w:r>
        <w:rPr>
          <w:rFonts w:ascii="Aptos" w:hAnsi="Aptos"/>
          <w:b w:val="0"/>
          <w:i w:val="0"/>
          <w:color w:val="24313A"/>
          <w:sz w:val="19"/>
        </w:rPr>
        <w:t>Define the intended add-on treatment objective.</w:t>
      </w:r>
    </w:p>
    <w:p>
      <w:pPr>
        <w:pStyle w:val="ListBullet"/>
        <w:spacing w:after="80" w:line="269" w:lineRule="auto"/>
      </w:pPr>
      <w:r>
        <w:rPr>
          <w:rFonts w:ascii="Aptos" w:hAnsi="Aptos"/>
          <w:b w:val="0"/>
          <w:i w:val="0"/>
          <w:color w:val="24313A"/>
          <w:sz w:val="19"/>
        </w:rPr>
        <w:t>Explain that the medicine is not for acute attacks.</w:t>
      </w:r>
    </w:p>
    <w:p>
      <w:pPr>
        <w:pStyle w:val="ListBullet"/>
        <w:spacing w:after="80" w:line="269" w:lineRule="auto"/>
      </w:pPr>
      <w:r>
        <w:rPr>
          <w:rFonts w:ascii="Aptos" w:hAnsi="Aptos"/>
          <w:b w:val="0"/>
          <w:i w:val="0"/>
          <w:color w:val="24313A"/>
          <w:sz w:val="19"/>
        </w:rPr>
        <w:t>Review response and liver monitoring according to the approved India label.</w:t>
      </w:r>
    </w:p>
    <w:p>
      <w:r>
        <w:br w:type="page"/>
      </w:r>
    </w:p>
    <w:p>
      <w:pPr>
        <w:pStyle w:val="Heading1"/>
        <w:keepNext/>
      </w:pPr>
      <w:r>
        <w:rPr>
          <w:rFonts w:ascii="Aptos" w:hAnsi="Aptos"/>
          <w:b/>
          <w:i w:val="0"/>
          <w:color w:val="18324A"/>
          <w:sz w:val="32"/>
        </w:rPr>
        <w:t>20. Fair Comparison With Montelukast and Other Controllers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Fair comparison clarifies evidence without manufacturing a winner.</w:t>
            </w:r>
          </w:p>
        </w:tc>
      </w:tr>
    </w:tbl>
    <w:p>
      <w:pPr>
        <w:spacing w:after="40"/>
      </w:pPr>
    </w:p>
    <w:p>
      <w:pPr>
        <w:spacing w:after="140" w:line="283" w:lineRule="auto"/>
      </w:pPr>
      <w:r>
        <w:rPr>
          <w:rFonts w:ascii="Aptos" w:hAnsi="Aptos"/>
          <w:b w:val="0"/>
          <w:i w:val="0"/>
          <w:color w:val="24313A"/>
          <w:sz w:val="21"/>
        </w:rPr>
        <w:t>Scientific interpretation: The Indian double-blind study directly compared seratrodast with montelukast over 28 days on background low-dose inhaled corticosteroid therapy.  It permits discussion of the studied symptom, lung-function, sputum, and safety endpoints.  Its short duration prevents broad comparison of long-term control or exacerbation outcomes.</w:t>
      </w:r>
    </w:p>
    <w:p>
      <w:pPr>
        <w:spacing w:after="140" w:line="283" w:lineRule="auto"/>
      </w:pPr>
      <w:r>
        <w:rPr>
          <w:rFonts w:ascii="Aptos" w:hAnsi="Aptos"/>
          <w:b w:val="0"/>
          <w:i w:val="0"/>
          <w:color w:val="24313A"/>
          <w:sz w:val="21"/>
        </w:rPr>
        <w:t>Scientific interpretation: Cross-trial comparisons with inhaled corticosteroids, LABAs, LAMAs, biologics, or other controller strategies cannot establish relative efficacy.  Different populations, endpoints, and treatment contexts make such rankings unreliable.  Seratrodast must not be presented as replacing guideline-preferred controller therapy.</w:t>
      </w:r>
    </w:p>
    <w:p>
      <w:pPr>
        <w:spacing w:after="140" w:line="283" w:lineRule="auto"/>
      </w:pPr>
      <w:r>
        <w:rPr>
          <w:rFonts w:ascii="Aptos" w:hAnsi="Aptos"/>
          <w:b w:val="0"/>
          <w:i w:val="0"/>
          <w:color w:val="24313A"/>
          <w:sz w:val="21"/>
        </w:rPr>
        <w:t>Scientific interpretation: Seratrodast blocks TP-receptor signaling, while montelukast blocks cysteinyl-leukotriene signaling and inhaled corticosteroids act broadly on airway inflammation.  Mechanistic comparison can improve understanding.  Mechanistic difference alone does not establish superior clinical benefit.</w:t>
      </w:r>
    </w:p>
    <w:p>
      <w:r>
        <w:br w:type="page"/>
      </w:r>
    </w:p>
    <w:p>
      <w:pPr>
        <w:pStyle w:val="Heading1"/>
        <w:keepNext/>
      </w:pPr>
      <w:r>
        <w:rPr>
          <w:rFonts w:ascii="Aptos" w:hAnsi="Aptos"/>
          <w:b/>
          <w:i w:val="0"/>
          <w:color w:val="18324A"/>
          <w:sz w:val="32"/>
        </w:rPr>
        <w:t>21. Evidence Gaps and Research Priorities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gaps are substantial and should be treated as part of the product's scientific identity.</w:t>
            </w:r>
          </w:p>
        </w:tc>
      </w:tr>
    </w:tbl>
    <w:p>
      <w:pPr>
        <w:spacing w:after="40"/>
      </w:pPr>
    </w:p>
    <w:p>
      <w:pPr>
        <w:spacing w:after="140" w:line="283" w:lineRule="auto"/>
      </w:pPr>
      <w:r>
        <w:rPr>
          <w:rFonts w:ascii="Aptos" w:hAnsi="Aptos"/>
          <w:b w:val="0"/>
          <w:i w:val="0"/>
          <w:color w:val="24313A"/>
          <w:sz w:val="21"/>
        </w:rPr>
        <w:t>Scientific interpretation: Large, modern studies demonstrating reduction in severe exacerbations, hospitalization, mortality, long-term oral corticosteroid exposure, or sustained lung-function decline were not identified.  This limits outcome-based positioning.  Selected symptom or biomarker improvements must not fill these gaps.</w:t>
      </w:r>
    </w:p>
    <w:p>
      <w:pPr>
        <w:spacing w:after="140" w:line="283" w:lineRule="auto"/>
      </w:pPr>
      <w:r>
        <w:rPr>
          <w:rFonts w:ascii="Aptos" w:hAnsi="Aptos"/>
          <w:b w:val="0"/>
          <w:i w:val="0"/>
          <w:color w:val="24313A"/>
          <w:sz w:val="21"/>
        </w:rPr>
        <w:t>Scientific interpretation: Current India post-marketing safety data, hepatic-event incidence, risk factors, monitoring effectiveness, and outcomes after discontinuation would strengthen benefit-risk assessment.  The known hepatic signal makes this especially important.  Absence of public data should not be interpreted as absence of risk.</w:t>
      </w:r>
    </w:p>
    <w:p>
      <w:pPr>
        <w:spacing w:after="140" w:line="283" w:lineRule="auto"/>
      </w:pPr>
      <w:r>
        <w:rPr>
          <w:rFonts w:ascii="Aptos" w:hAnsi="Aptos"/>
          <w:b w:val="0"/>
          <w:i w:val="0"/>
          <w:color w:val="24313A"/>
          <w:sz w:val="21"/>
        </w:rPr>
        <w:t>Scientific interpretation: A contemporary programme could evaluate phenotype-informed selection, longer-term add-on efficacy, exacerbations, patient-reported outcomes, hepatic monitoring, and real-world India effectiveness.  Such studies could clarify whether a distinct responder population exists.  Until then, positioning must remain conservative.</w:t>
      </w:r>
    </w:p>
    <w:p>
      <w:r>
        <w:br w:type="page"/>
      </w:r>
    </w:p>
    <w:p>
      <w:pPr>
        <w:pStyle w:val="Heading1"/>
        <w:keepNext/>
      </w:pPr>
      <w:r>
        <w:rPr>
          <w:rFonts w:ascii="Aptos" w:hAnsi="Aptos"/>
          <w:b/>
          <w:i w:val="0"/>
          <w:color w:val="18324A"/>
          <w:sz w:val="32"/>
        </w:rPr>
        <w:t>22. Balanced Scientific Conclusions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conclusion must preserve clinical interest and clinical restraint at the same time.</w:t>
            </w:r>
          </w:p>
        </w:tc>
      </w:tr>
    </w:tbl>
    <w:p>
      <w:pPr>
        <w:spacing w:after="40"/>
      </w:pPr>
    </w:p>
    <w:p>
      <w:pPr>
        <w:spacing w:after="140" w:line="283" w:lineRule="auto"/>
      </w:pPr>
      <w:r>
        <w:rPr>
          <w:rFonts w:ascii="Aptos" w:hAnsi="Aptos"/>
          <w:b w:val="0"/>
          <w:i w:val="0"/>
          <w:color w:val="24313A"/>
          <w:sz w:val="21"/>
        </w:rPr>
        <w:t>Scientific interpretation: Seratrodast is an oral TP-receptor antagonist with a verified India approval-list role as add-on therapy in bronchial asthma.  Clinical studies support activity across selected symptom, airway-response, secretion, and lung-function measures.  The evidence is older and narrower than that supporting mainstream contemporary asthma pathways.</w:t>
      </w:r>
    </w:p>
    <w:p>
      <w:pPr>
        <w:spacing w:after="140" w:line="283" w:lineRule="auto"/>
      </w:pPr>
      <w:r>
        <w:rPr>
          <w:rFonts w:ascii="Aptos" w:hAnsi="Aptos"/>
          <w:b w:val="0"/>
          <w:i w:val="0"/>
          <w:color w:val="24313A"/>
          <w:sz w:val="21"/>
        </w:rPr>
        <w:t>Scientific interpretation: The molecule targets thromboxane-mediated airway biology and may offer an adjunctive option in locally approved circumstances.  Its mechanism and India comparative study provide legitimate scientific interest.  It must not be portrayed as a rescue bronchodilator, monotherapy, or guideline-preferred controller.</w:t>
      </w:r>
    </w:p>
    <w:p>
      <w:pPr>
        <w:spacing w:after="140" w:line="283" w:lineRule="auto"/>
      </w:pPr>
      <w:r>
        <w:rPr>
          <w:rFonts w:ascii="Aptos" w:hAnsi="Aptos"/>
          <w:b w:val="0"/>
          <w:i w:val="0"/>
          <w:color w:val="24313A"/>
          <w:sz w:val="21"/>
        </w:rPr>
        <w:t>Scientific interpretation: Serious hepatic injury and Japanese monthly liver-function monitoring are central safety considerations, while India-specific wording remains to be verified.  A balanced monograph should help HCPs assess both potential role and risk.  External use remains blocked until the current India package insert and required approvals are incorporated.</w:t>
      </w:r>
    </w:p>
    <w:p>
      <w:r>
        <w:br w:type="page"/>
      </w:r>
    </w:p>
    <w:p>
      <w:pPr>
        <w:pStyle w:val="Heading1"/>
        <w:keepNext/>
      </w:pPr>
      <w:r>
        <w:rPr>
          <w:rFonts w:ascii="Aptos" w:hAnsi="Aptos"/>
          <w:b/>
          <w:i w:val="0"/>
          <w:color w:val="18324A"/>
          <w:sz w:val="32"/>
        </w:rPr>
        <w:t>Appendix: Evidence-Search and Interpretation Methodology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appendix matters</w:t>
            </w:r>
          </w:p>
          <w:p>
            <w:pPr>
              <w:spacing w:after="0" w:line="276" w:lineRule="auto"/>
            </w:pPr>
            <w:r>
              <w:rPr>
                <w:rFonts w:ascii="Aptos" w:hAnsi="Aptos"/>
                <w:b w:val="0"/>
                <w:i w:val="0"/>
                <w:color w:val="24313A"/>
                <w:sz w:val="19"/>
              </w:rPr>
              <w:t>A detailed monograph on seratrodast is only as trustworthy as the process used to find, verify, interpret, and update its evidence.</w:t>
            </w:r>
          </w:p>
        </w:tc>
      </w:tr>
    </w:tbl>
    <w:p>
      <w:pPr>
        <w:spacing w:after="40"/>
      </w:pPr>
    </w:p>
    <w:p>
      <w:pPr>
        <w:spacing w:after="140" w:line="283" w:lineRule="auto"/>
      </w:pPr>
      <w:r>
        <w:rPr>
          <w:rFonts w:ascii="Aptos" w:hAnsi="Aptos"/>
          <w:b w:val="0"/>
          <w:i w:val="0"/>
          <w:color w:val="24313A"/>
          <w:sz w:val="21"/>
        </w:rPr>
        <w:t>Scientific interpretation: The search pathway combined regulator portals, PubMed, PubMed Central, open-access journal repositories, trial registries, citation chaining, and broader open-web discovery. Google Scholar can help locate related papers and cited-by networks, but every result must be verified against the original journal, DOI, registry, or regulator record.  This layered approach reduces the risk that an important study is missed simply because it is indexed inconsistently.  The present qualification run is extensive but is not represented as a formally registered systematic review with duplicate independent screening.</w:t>
      </w:r>
    </w:p>
    <w:p>
      <w:pPr>
        <w:spacing w:after="140" w:line="283" w:lineRule="auto"/>
      </w:pPr>
      <w:r>
        <w:rPr>
          <w:rFonts w:ascii="Aptos" w:hAnsi="Aptos"/>
          <w:b w:val="0"/>
          <w:i w:val="0"/>
          <w:color w:val="24313A"/>
          <w:sz w:val="21"/>
        </w:rPr>
        <w:t>Scientific interpretation: PubMed identifies indexed records, while PubMed Central provides accessible full text for many clinically important articles. Full text permits verification of eligibility criteria, analysis populations, missing-data methods, confidence intervals, adverse events, and limitations that are often absent from abstracts.  This is especially important before making comparisons or quoting numerical results.  Open access does not itself establish quality; study design and relevance remain decisive.</w:t>
      </w:r>
    </w:p>
    <w:p>
      <w:pPr>
        <w:spacing w:after="140" w:line="283" w:lineRule="auto"/>
      </w:pPr>
      <w:r>
        <w:rPr>
          <w:rFonts w:ascii="Aptos" w:hAnsi="Aptos"/>
          <w:b w:val="0"/>
          <w:i w:val="0"/>
          <w:color w:val="24313A"/>
          <w:sz w:val="21"/>
        </w:rPr>
        <w:t>Scientific interpretation: The current authority-approved local package insert is the controlling source for indication, dosage, contraindications, warnings, and mandatory safety language. Other regulator documents can provide development history, review reasoning, pharmacology, and safety context.  Jurisdiction separation prevents a scientifically correct foreign-label statement from becoming an incorrect local prescribing claim.  Where the current India package insert is unavailable, the monograph must remain a controlled draft.</w:t>
      </w:r>
    </w:p>
    <w:p>
      <w:pPr>
        <w:spacing w:after="140" w:line="283" w:lineRule="auto"/>
      </w:pPr>
      <w:r>
        <w:rPr>
          <w:rFonts w:ascii="Aptos" w:hAnsi="Aptos"/>
          <w:b w:val="0"/>
          <w:i w:val="0"/>
          <w:color w:val="24313A"/>
          <w:sz w:val="21"/>
        </w:rPr>
        <w:t>Scientific interpretation: Randomized controlled pivotal trials generally provide stronger evidence for causal efficacy than uncontrolled studies, while long-term extensions add exposure information and observational studies add real-world context. Mechanistic, biomarker, and preclinical studies answer different questions and are labelled accordingly.  The hierarchy helps readers understand how much confidence to place in each finding.  No study is upgraded merely because its result is favorable.</w:t>
      </w:r>
    </w:p>
    <w:p>
      <w:pPr>
        <w:spacing w:after="140" w:line="283" w:lineRule="auto"/>
      </w:pPr>
      <w:r>
        <w:rPr>
          <w:rFonts w:ascii="Aptos" w:hAnsi="Aptos"/>
          <w:b w:val="0"/>
          <w:i w:val="0"/>
          <w:color w:val="24313A"/>
          <w:sz w:val="21"/>
        </w:rPr>
        <w:t>Scientific interpretation: A defensible comparison identifies the comparator, population, background therapy, duration, endpoint, analysis method, absolute result, confidence interval, and limitations. Head-to-head randomized evidence is treated differently from cross-trial context.  This preserves clinical meaning and prevents hanging comparisons.  A statistically significant difference is not automatically clinically important.</w:t>
      </w:r>
    </w:p>
    <w:p>
      <w:pPr>
        <w:spacing w:after="140" w:line="283" w:lineRule="auto"/>
      </w:pPr>
      <w:r>
        <w:rPr>
          <w:rFonts w:ascii="Aptos" w:hAnsi="Aptos"/>
          <w:b w:val="0"/>
          <w:i w:val="0"/>
          <w:color w:val="24313A"/>
          <w:sz w:val="21"/>
        </w:rPr>
        <w:t>Scientific interpretation: Non-inferiority depends on a prespecified margin, appropriate analysis populations, assay sensitivity, adherence to protocol, and confidence intervals. The conclusion applies to the studied endpoint and conditions.  It can support that a product was not unacceptably worse than its comparator within the margin.  It does not establish superiority, equivalence for all outcomes, or interchangeability in every patient.</w:t>
      </w:r>
    </w:p>
    <w:p>
      <w:pPr>
        <w:spacing w:after="140" w:line="283" w:lineRule="auto"/>
      </w:pPr>
      <w:r>
        <w:rPr>
          <w:rFonts w:ascii="Aptos" w:hAnsi="Aptos"/>
          <w:b w:val="0"/>
          <w:i w:val="0"/>
          <w:color w:val="24313A"/>
          <w:sz w:val="21"/>
        </w:rPr>
        <w:t>Scientific interpretation: Safety assessment combines trial adverse events, regulator reviews, post-marketing signals, label changes, pharmacovigilance communications, and clinically relevant class context. Denominators, exposure duration, seriousness, expectedness, and causality limitations are retained.  This makes the safety narrative usable without falsely implying certainty.  Absence of a signal in a small trial cannot establish absence of risk.</w:t>
      </w:r>
    </w:p>
    <w:p>
      <w:pPr>
        <w:spacing w:after="140" w:line="283" w:lineRule="auto"/>
      </w:pPr>
      <w:r>
        <w:rPr>
          <w:rFonts w:ascii="Aptos" w:hAnsi="Aptos"/>
          <w:b w:val="0"/>
          <w:i w:val="0"/>
          <w:color w:val="24313A"/>
          <w:sz w:val="21"/>
        </w:rPr>
        <w:t>Scientific interpretation: A complete monograph includes clinically important findings that did not show benefit, such as neutral pulmonary-function results, absent biomarker changes, or lack of demonstrated hard outcomes.  Neutral findings define what the medicine should not be expected to do and protect against overinterpretation.  Selective omission of unfavorable evidence would make the monograph scientifically misleading.</w:t>
      </w:r>
    </w:p>
    <w:p>
      <w:pPr>
        <w:spacing w:after="140" w:line="283" w:lineRule="auto"/>
      </w:pPr>
      <w:r>
        <w:rPr>
          <w:rFonts w:ascii="Aptos" w:hAnsi="Aptos"/>
          <w:b w:val="0"/>
          <w:i w:val="0"/>
          <w:color w:val="24313A"/>
          <w:sz w:val="21"/>
        </w:rPr>
        <w:t>Scientific interpretation: P-values and confidence intervals describe statistical evidence, while clinical relevance depends on effect magnitude, baseline risk, endpoint importance, duration, patient burden, and alternatives.  The monograph therefore explains what a numerical result could mean in practice.  Small statistically significant changes should not be transformed into broad treatment claims.</w:t>
      </w:r>
    </w:p>
    <w:p>
      <w:pPr>
        <w:spacing w:after="140" w:line="283" w:lineRule="auto"/>
      </w:pPr>
      <w:r>
        <w:rPr>
          <w:rFonts w:ascii="Aptos" w:hAnsi="Aptos"/>
          <w:b w:val="0"/>
          <w:i w:val="0"/>
          <w:color w:val="24313A"/>
          <w:sz w:val="21"/>
        </w:rPr>
        <w:t>Scientific interpretation: Treatment satisfaction, quality of life, symptom scores, and convenience measures can capture outcomes that laboratory values miss. They are also sensitive to expectations, open-label design, instrument selection, and individual preferences.  These outcomes can support shared decision-making when described precisely.  They do not automatically prove adherence, persistence, or improved clinical outcomes.</w:t>
      </w:r>
    </w:p>
    <w:p>
      <w:pPr>
        <w:spacing w:after="140" w:line="283" w:lineRule="auto"/>
      </w:pPr>
      <w:r>
        <w:rPr>
          <w:rFonts w:ascii="Aptos" w:hAnsi="Aptos"/>
          <w:b w:val="0"/>
          <w:i w:val="0"/>
          <w:color w:val="24313A"/>
          <w:sz w:val="21"/>
        </w:rPr>
        <w:t>Scientific interpretation: The search actively looks for outcomes and populations that are absent as well as those that are present. Examples include cardiovascular outcomes, exacerbations, pregnancy, pediatrics, severe organ impairment, long-term India evidence, and uncommon adverse events.  Visible gaps prevent model-generated assumptions from filling missing knowledge.  A gap should trigger caution or future research, not a stronger claim.</w:t>
      </w:r>
    </w:p>
    <w:p>
      <w:pPr>
        <w:spacing w:after="140" w:line="283" w:lineRule="auto"/>
      </w:pPr>
      <w:r>
        <w:rPr>
          <w:rFonts w:ascii="Aptos" w:hAnsi="Aptos"/>
          <w:b w:val="0"/>
          <w:i w:val="0"/>
          <w:color w:val="24313A"/>
          <w:sz w:val="21"/>
        </w:rPr>
        <w:t>Scientific interpretation: A pre-approval update search should review regulator changes, new trials, corrections, retractions, safety communications, guidelines, and sponsor pharmacovigilance information. Material changes should update the claim-source matrix and trigger relevant reviewers.  A living monograph remains current without losing traceability.  No update becomes effective without controlled review and approval.</w:t>
      </w:r>
    </w:p>
    <w:p>
      <w:pPr>
        <w:spacing w:after="140" w:line="283" w:lineRule="auto"/>
      </w:pPr>
      <w:r>
        <w:rPr>
          <w:rFonts w:ascii="Aptos" w:hAnsi="Aptos"/>
          <w:b w:val="0"/>
          <w:i w:val="0"/>
          <w:color w:val="24313A"/>
          <w:sz w:val="21"/>
        </w:rPr>
        <w:t>The reference set is reviewed a second time after drafting so that the bibliography, the claim matrix, and the prescribing-information placeholder stay in step. That extra pass matters because small label or citation mismatches can quietly distort the final scientific meaning of a monograph even when the document looks complete on the page.</w:t>
      </w:r>
    </w:p>
    <w:p>
      <w:pPr>
        <w:spacing w:after="140" w:line="283" w:lineRule="auto"/>
      </w:pPr>
      <w:r>
        <w:rPr>
          <w:rFonts w:ascii="Aptos" w:hAnsi="Aptos"/>
          <w:b w:val="0"/>
          <w:i w:val="0"/>
          <w:color w:val="24313A"/>
          <w:sz w:val="21"/>
        </w:rPr>
        <w:t>A final interpretive sweep checks whether the open-web source set is balanced between regulator records, company disclosures, and independent peer-reviewed literature. Where a sponsor-hosted page is used, the text should be treated as useful supporting material rather than the last word on approved prescribing status. Where an open-access journal article is used, the analysis should still identify the study design, comparator, population, follow-up, and the limits of extrapolation. This layered handling of references is what prevents a polished monograph from drifting into an overconfident brochure.</w:t>
      </w:r>
    </w:p>
    <w:p>
      <w:pPr>
        <w:spacing w:after="140" w:line="283" w:lineRule="auto"/>
      </w:pPr>
      <w:r>
        <w:rPr>
          <w:rFonts w:ascii="Aptos" w:hAnsi="Aptos"/>
          <w:b w:val="0"/>
          <w:i w:val="0"/>
          <w:color w:val="24313A"/>
          <w:sz w:val="21"/>
        </w:rPr>
        <w:t>The same discipline applies to updates. A monograph should be re-opened whenever a regulator changes the label, a sponsor revises the package insert, a new pivotal study shifts the benefit-risk conversation, or a safety communication adds a meaningful warning. At that point, the task is not merely to append new citations. The reviewer must decide whether the claim matrix, the prescribing placeholder, the HCP question set, and the practical-use guidance all still tell a consistent story. That is the difference between a document that merely looks finished and a document that is genuinely controlled.</w:t>
      </w:r>
    </w:p>
    <w:p>
      <w:pPr>
        <w:pStyle w:val="Heading2"/>
        <w:keepNext/>
      </w:pPr>
      <w:r>
        <w:rPr>
          <w:rFonts w:ascii="Aptos" w:hAnsi="Aptos"/>
          <w:b/>
          <w:i w:val="0"/>
          <w:color w:val="137C7B"/>
          <w:sz w:val="25"/>
        </w:rPr>
        <w:t>Evidence hierarchy used in this qualification draft</w:t>
      </w:r>
    </w:p>
    <w:tbl>
      <w:tblPr>
        <w:tblStyle w:val="TableGrid"/>
        <w:tblW w:type="auto" w:w="0"/>
        <w:jc w:val="center"/>
        <w:tblLayout w:type="fixed"/>
        <w:tblLook w:firstColumn="1" w:firstRow="1" w:lastColumn="0" w:lastRow="0" w:noHBand="0" w:noVBand="1" w:val="04A0"/>
      </w:tblPr>
      <w:tblGrid>
        <w:gridCol w:w="936"/>
        <w:gridCol w:w="2592"/>
        <w:gridCol w:w="3168"/>
        <w:gridCol w:w="2304"/>
      </w:tblGrid>
      <w:tr>
        <w:trPr>
          <w:tblHeader w:val="true"/>
        </w:trPr>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Evidence level</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Typical source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Permitted use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Key limitation</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India-approved package insert and CDSCO records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Local indication, dosing, warnings, legal prescribing content</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package insert not yet available</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Regulator review reports and safety communications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Development reasoning, PK, safety signals, jurisdiction-specific context</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May not reflect India label</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clinical trials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Causal efficacy and comparative safety within studied conditions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May be short or population-specific</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Long-term extensions and observational studies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Durability, exposure, practice context, hypotheses</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Confounding and weaker causal inference</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Systematic reviews and meta-analyses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Synthesis across eligible studies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Limited by included evidence and heterogeneity</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biomarker, modeling, and preclinical evidence</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Biological rationale and future research</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Cannot establish patient-important clinical benefit</w:t>
            </w:r>
          </w:p>
        </w:tc>
      </w:tr>
    </w:tbl>
    <w:p>
      <w:pPr>
        <w:spacing w:after="40"/>
      </w:pPr>
    </w:p>
    <w:p>
      <w:r>
        <w:br w:type="page"/>
      </w:r>
    </w:p>
    <w:p>
      <w:pPr>
        <w:pStyle w:val="Heading1"/>
        <w:keepNext/>
      </w:pPr>
      <w:r>
        <w:rPr>
          <w:rFonts w:ascii="Aptos" w:hAnsi="Aptos"/>
          <w:b/>
          <w:i w:val="0"/>
          <w:color w:val="18324A"/>
          <w:sz w:val="32"/>
        </w:rPr>
        <w:t>Appendix: Detailed HCP Scientific Questions and Answers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These questions are designed to make the scientific evidence on seratrodast easier to retrieve during medical review. They are not prescribing instructions or promotional rebuttals.</w:t>
            </w:r>
          </w:p>
        </w:tc>
      </w:tr>
    </w:tbl>
    <w:p>
      <w:pPr>
        <w:spacing w:after="40"/>
      </w:pPr>
    </w:p>
    <w:p>
      <w:pPr>
        <w:pStyle w:val="Heading2"/>
        <w:keepNext/>
      </w:pPr>
      <w:r>
        <w:rPr>
          <w:rFonts w:ascii="Aptos" w:hAnsi="Aptos"/>
          <w:b/>
          <w:i w:val="0"/>
          <w:color w:val="137C7B"/>
          <w:sz w:val="25"/>
        </w:rPr>
        <w:t>Q1. What is the most defensible one-sentence description of the product?</w:t>
      </w:r>
    </w:p>
    <w:p>
      <w:pPr>
        <w:spacing w:after="140" w:line="283" w:lineRule="auto"/>
      </w:pPr>
      <w:r>
        <w:rPr>
          <w:rFonts w:ascii="Aptos" w:hAnsi="Aptos"/>
          <w:b w:val="0"/>
          <w:i w:val="0"/>
          <w:color w:val="24313A"/>
          <w:sz w:val="21"/>
        </w:rPr>
        <w:t>Seratrodast is an oral thromboxane A2/prostaglandin H2 receptor antagonist with a verified India approval-list role as add-on therapy in bronchial asthma. Its evidence supports selected physiological and clinical effects, while major long-term outcomes remain unestablished.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 What is the locally verified therapeutic role?</w:t>
      </w:r>
    </w:p>
    <w:p>
      <w:pPr>
        <w:spacing w:after="140" w:line="283" w:lineRule="auto"/>
      </w:pPr>
      <w:r>
        <w:rPr>
          <w:rFonts w:ascii="Aptos" w:hAnsi="Aptos"/>
          <w:b w:val="0"/>
          <w:i w:val="0"/>
          <w:color w:val="24313A"/>
          <w:sz w:val="21"/>
        </w:rPr>
        <w:t>CDSCO records identify 40-mg and 80-mg tablets as add-on therapy in bronchial asthma. This narrow role should remain central until the current India package insert defines exact dosing, contraindications, warnings, and patient boundaries.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 What is the molecule's principal scientific distinction?</w:t>
      </w:r>
    </w:p>
    <w:p>
      <w:pPr>
        <w:spacing w:after="140" w:line="283" w:lineRule="auto"/>
      </w:pPr>
      <w:r>
        <w:rPr>
          <w:rFonts w:ascii="Aptos" w:hAnsi="Aptos"/>
          <w:b w:val="0"/>
          <w:i w:val="0"/>
          <w:color w:val="24313A"/>
          <w:sz w:val="21"/>
        </w:rPr>
        <w:t>The molecule targets TP-receptor-mediated airway effects, providing a mechanistically distinct oral add-on concept. This distinction is scientifically relevant but does not make seratrodast a rescue bronchodilator or a replacement for inhaled corticosteroid-containing therapy.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Q4. What is the strongest direct efficacy evidence?</w:t>
      </w:r>
    </w:p>
    <w:p>
      <w:pPr>
        <w:spacing w:after="140" w:line="283" w:lineRule="auto"/>
      </w:pPr>
      <w:r>
        <w:rPr>
          <w:rFonts w:ascii="Aptos" w:hAnsi="Aptos"/>
          <w:b w:val="0"/>
          <w:i w:val="0"/>
          <w:color w:val="24313A"/>
          <w:sz w:val="21"/>
        </w:rPr>
        <w:t>The evidence base includes a phase II PK/PD study, placebo-controlled airway-secretion work, an airway-hyperresponsiveness study, Japanese regulatory clinical experience, and an Indian double-blind comparison with montelukast. Effects are most consistently described for selected symptoms, sputum, and physiological measures.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Q5. What is the most important India-specific evidence?</w:t>
      </w:r>
    </w:p>
    <w:p>
      <w:pPr>
        <w:spacing w:after="140" w:line="283" w:lineRule="auto"/>
      </w:pPr>
      <w:r>
        <w:rPr>
          <w:rFonts w:ascii="Aptos" w:hAnsi="Aptos"/>
          <w:b w:val="0"/>
          <w:i w:val="0"/>
          <w:color w:val="24313A"/>
          <w:sz w:val="21"/>
        </w:rPr>
        <w:t>The Indian study randomized 205 adults on low-dose inhaled corticosteroid therapy to seratrodast 80 mg or montelukast 10 mg for 28 days. Both groups improved from baseline, with selected PEF, expectoration, and sputum-marker outcomes favoring seratrodast.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Q6. What is the most important international evidence?</w:t>
      </w:r>
    </w:p>
    <w:p>
      <w:pPr>
        <w:spacing w:after="140" w:line="283" w:lineRule="auto"/>
      </w:pPr>
      <w:r>
        <w:rPr>
          <w:rFonts w:ascii="Aptos" w:hAnsi="Aptos"/>
          <w:b w:val="0"/>
          <w:i w:val="0"/>
          <w:color w:val="24313A"/>
          <w:sz w:val="21"/>
        </w:rPr>
        <w:t>International evidence includes a randomized phase II exposure-response study and small placebo-controlled or exploratory studies of sputum, mucociliary clearance, airway hyperresponsiveness, and biomarkers. Most studies are older, small, or short.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Q7. What is the most important safety issue?</w:t>
      </w:r>
    </w:p>
    <w:p>
      <w:pPr>
        <w:spacing w:after="140" w:line="283" w:lineRule="auto"/>
      </w:pPr>
      <w:r>
        <w:rPr>
          <w:rFonts w:ascii="Aptos" w:hAnsi="Aptos"/>
          <w:b w:val="0"/>
          <w:i w:val="0"/>
          <w:color w:val="24313A"/>
          <w:sz w:val="21"/>
        </w:rPr>
        <w:t>The most important safety issue is serious hepatic injury. Japanese regulatory information reports liver-test abnormalities, serious hepatic dysfunction, jaundice, fulminant hepatitis, and fatal cases, making liver safety central to benefit-risk assessment.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Q8. What is the most important monitoring issue?</w:t>
      </w:r>
    </w:p>
    <w:p>
      <w:pPr>
        <w:spacing w:after="140" w:line="283" w:lineRule="auto"/>
      </w:pPr>
      <w:r>
        <w:rPr>
          <w:rFonts w:ascii="Aptos" w:hAnsi="Aptos"/>
          <w:b w:val="0"/>
          <w:i w:val="0"/>
          <w:color w:val="24313A"/>
          <w:sz w:val="21"/>
        </w:rPr>
        <w:t>Japanese information requires monthly liver-function monitoring, but the exact India monitoring requirement must be verified. Monitoring must also address asthma control, reliever use, lung function where appropriate, tolerability, and whether the defined add-on objective is being achieved.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Q9. What should never be claimed from the available evidence?</w:t>
      </w:r>
    </w:p>
    <w:p>
      <w:pPr>
        <w:spacing w:after="140" w:line="283" w:lineRule="auto"/>
      </w:pPr>
      <w:r>
        <w:rPr>
          <w:rFonts w:ascii="Aptos" w:hAnsi="Aptos"/>
          <w:b w:val="0"/>
          <w:i w:val="0"/>
          <w:color w:val="24313A"/>
          <w:sz w:val="21"/>
        </w:rPr>
        <w:t>The evidence does not support claims that seratrodast replaces inhaled corticosteroids, treats acute attacks, is a preferred global controller, or reduces severe exacerbations, hospitalization, mortality, or long-term corticosteroid exposure.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Q10. How should mechanism of action be explained to an HCP?</w:t>
      </w:r>
    </w:p>
    <w:p>
      <w:pPr>
        <w:spacing w:after="140" w:line="283" w:lineRule="auto"/>
      </w:pPr>
      <w:r>
        <w:rPr>
          <w:rFonts w:ascii="Aptos" w:hAnsi="Aptos"/>
          <w:b w:val="0"/>
          <w:i w:val="0"/>
          <w:color w:val="24313A"/>
          <w:sz w:val="21"/>
        </w:rPr>
        <w:t>Seratrodast competitively antagonizes TP receptors and inhibits thromboxane-mediated airway effects. Mechanistic plausibility helps explain selected effects on airway responsiveness and secretions, but it does not establish comprehensive asthma control or long-term outcomes.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Q11. What does the pharmacokinetic profile mean clinically?</w:t>
      </w:r>
    </w:p>
    <w:p>
      <w:pPr>
        <w:spacing w:after="140" w:line="283" w:lineRule="auto"/>
      </w:pPr>
      <w:r>
        <w:rPr>
          <w:rFonts w:ascii="Aptos" w:hAnsi="Aptos"/>
          <w:b w:val="0"/>
          <w:i w:val="0"/>
          <w:color w:val="24313A"/>
          <w:sz w:val="21"/>
        </w:rPr>
        <w:t>Japanese information describes a delayed Tmax of approximately 7.4 hours and a terminal half-life of approximately 25 hours, which reinforces that seratrodast is not a rapid-relief medicine. Older adults may have higher exposure and longer half-life.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Q12. Which evidence is pivotal and which is supportive?</w:t>
      </w:r>
    </w:p>
    <w:p>
      <w:pPr>
        <w:spacing w:after="140" w:line="283" w:lineRule="auto"/>
      </w:pPr>
      <w:r>
        <w:rPr>
          <w:rFonts w:ascii="Aptos" w:hAnsi="Aptos"/>
          <w:b w:val="0"/>
          <w:i w:val="0"/>
          <w:color w:val="24313A"/>
          <w:sz w:val="21"/>
        </w:rPr>
        <w:t>The Indian comparative study and randomized phase II study should carry more weight than small uncontrolled biomarker studies. Japanese regulatory experience adds breadth and safety context, while recent preclinical repurposing findings remain investigational.</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Q13. How should comparative findings be communicated?</w:t>
      </w:r>
    </w:p>
    <w:p>
      <w:pPr>
        <w:spacing w:after="140" w:line="283" w:lineRule="auto"/>
      </w:pPr>
      <w:r>
        <w:rPr>
          <w:rFonts w:ascii="Aptos" w:hAnsi="Aptos"/>
          <w:b w:val="0"/>
          <w:i w:val="0"/>
          <w:color w:val="24313A"/>
          <w:sz w:val="21"/>
        </w:rPr>
        <w:t>Comparison with montelukast should reproduce the 28-day design, background inhaled corticosteroid therapy, individual endpoints, numerical results, and limitations. It must not become a generalized superiority or guideline-ranking claim.</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Q14. What are the central limitations of the evidence base?</w:t>
      </w:r>
    </w:p>
    <w:p>
      <w:pPr>
        <w:spacing w:after="140" w:line="283" w:lineRule="auto"/>
      </w:pPr>
      <w:r>
        <w:rPr>
          <w:rFonts w:ascii="Aptos" w:hAnsi="Aptos"/>
          <w:b w:val="0"/>
          <w:i w:val="0"/>
          <w:color w:val="24313A"/>
          <w:sz w:val="21"/>
        </w:rPr>
        <w:t>The evidence is generally old, short, and limited in sample size. Robust exacerbation, hospitalization, mortality, long-term control, and contemporary comparative evidence were not identified, and a seratrodast-specific systematic review was not located.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Q15. What is known about long-term use?</w:t>
      </w:r>
    </w:p>
    <w:p>
      <w:pPr>
        <w:spacing w:after="140" w:line="283" w:lineRule="auto"/>
      </w:pPr>
      <w:r>
        <w:rPr>
          <w:rFonts w:ascii="Aptos" w:hAnsi="Aptos"/>
          <w:b w:val="0"/>
          <w:i w:val="0"/>
          <w:color w:val="24313A"/>
          <w:sz w:val="21"/>
        </w:rPr>
        <w:t>Controlled long-term evidence is limited. Japanese regulatory experience adds exposure context, but modern long-duration randomized evidence assessing exacerbations, liver safety, and sustained benefit remains an important gap.</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Q16. What is known about use in older adults?</w:t>
      </w:r>
    </w:p>
    <w:p>
      <w:pPr>
        <w:spacing w:after="140" w:line="283" w:lineRule="auto"/>
      </w:pPr>
      <w:r>
        <w:rPr>
          <w:rFonts w:ascii="Aptos" w:hAnsi="Aptos"/>
          <w:b w:val="0"/>
          <w:i w:val="0"/>
          <w:color w:val="24313A"/>
          <w:sz w:val="21"/>
        </w:rPr>
        <w:t>Japanese PK information describes higher exposure and longer half-life in older adults and suggests cautious dosing. India-specific elderly instructions must come from the current package insert, with liver status and polypharmacy carefully reviewed.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Q17. What is known about renal impairment?</w:t>
      </w:r>
    </w:p>
    <w:p>
      <w:pPr>
        <w:spacing w:after="140" w:line="283" w:lineRule="auto"/>
      </w:pPr>
      <w:r>
        <w:rPr>
          <w:rFonts w:ascii="Aptos" w:hAnsi="Aptos"/>
          <w:b w:val="0"/>
          <w:i w:val="0"/>
          <w:color w:val="24313A"/>
          <w:sz w:val="21"/>
        </w:rPr>
        <w:t>Adequate renal-impairment PK and dosing evidence was not identified. Renal recommendations should not be invented or inferred from general pharmacology.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Q18. What is known about hepatic impairment?</w:t>
      </w:r>
    </w:p>
    <w:p>
      <w:pPr>
        <w:spacing w:after="140" w:line="283" w:lineRule="auto"/>
      </w:pPr>
      <w:r>
        <w:rPr>
          <w:rFonts w:ascii="Aptos" w:hAnsi="Aptos"/>
          <w:b w:val="0"/>
          <w:i w:val="0"/>
          <w:color w:val="24313A"/>
          <w:sz w:val="21"/>
        </w:rPr>
        <w:t>Hepatic safety is the central special-population concern. Patients with hepatic impairment require careful assessment, and Japanese regulatory information describes serious injury and monthly monitoring; exact India restrictions and actions remain label-controlled.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Q19. What is known about pregnancy and lactation?</w:t>
      </w:r>
    </w:p>
    <w:p>
      <w:pPr>
        <w:spacing w:after="140" w:line="283" w:lineRule="auto"/>
      </w:pPr>
      <w:r>
        <w:rPr>
          <w:rFonts w:ascii="Aptos" w:hAnsi="Aptos"/>
          <w:b w:val="0"/>
          <w:i w:val="0"/>
          <w:color w:val="24313A"/>
          <w:sz w:val="21"/>
        </w:rPr>
        <w:t>Adequate human pregnancy and lactation evidence was not identified. Japanese information uses a benefit-risk approach and notes animal transfer into milk, but India-approved wording must control local use.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Q20. What is known about pediatric use?</w:t>
      </w:r>
    </w:p>
    <w:p>
      <w:pPr>
        <w:spacing w:after="140" w:line="283" w:lineRule="auto"/>
      </w:pPr>
      <w:r>
        <w:rPr>
          <w:rFonts w:ascii="Aptos" w:hAnsi="Aptos"/>
          <w:b w:val="0"/>
          <w:i w:val="0"/>
          <w:color w:val="24313A"/>
          <w:sz w:val="21"/>
        </w:rPr>
        <w:t>Japanese information states that pediatric clinical trials have not been conducted. Pediatric use should not be inferred from adult asthma biology or tablet strengths.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Q21. How should concomitant therapy be reviewed?</w:t>
      </w:r>
    </w:p>
    <w:p>
      <w:pPr>
        <w:spacing w:after="140" w:line="283" w:lineRule="auto"/>
      </w:pPr>
      <w:r>
        <w:rPr>
          <w:rFonts w:ascii="Aptos" w:hAnsi="Aptos"/>
          <w:b w:val="0"/>
          <w:i w:val="0"/>
          <w:color w:val="24313A"/>
          <w:sz w:val="21"/>
        </w:rPr>
        <w:t>Review inhaled corticosteroid-containing therapy, reliever treatment, systemic corticosteroids, medicines associated with hepatic injury or hemolytic anemia, and the overall asthma plan. Steroid reduction must never be abrupt or based solely on adding seratrodast.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Q22. How should a patient be selected?</w:t>
      </w:r>
    </w:p>
    <w:p>
      <w:pPr>
        <w:spacing w:after="140" w:line="283" w:lineRule="auto"/>
      </w:pPr>
      <w:r>
        <w:rPr>
          <w:rFonts w:ascii="Aptos" w:hAnsi="Aptos"/>
          <w:b w:val="0"/>
          <w:i w:val="0"/>
          <w:color w:val="24313A"/>
          <w:sz w:val="21"/>
        </w:rPr>
        <w:t>A potential patient must be within the verified add-on role, have foundational asthma management optimized, have liver risk assessed, and have a clear residual treatment objective. Selection should be individualized and periodically reviewed.</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Q23. Which patients may require another strategy?</w:t>
      </w:r>
    </w:p>
    <w:p>
      <w:pPr>
        <w:spacing w:after="140" w:line="283" w:lineRule="auto"/>
      </w:pPr>
      <w:r>
        <w:rPr>
          <w:rFonts w:ascii="Aptos" w:hAnsi="Aptos"/>
          <w:b w:val="0"/>
          <w:i w:val="0"/>
          <w:color w:val="24313A"/>
          <w:sz w:val="21"/>
        </w:rPr>
        <w:t>Another strategy may be required for acute attacks, severe or unstable asthma, significant hepatic disease, unoptimized inhaled therapy, or when a guideline-supported pathway better addresses exacerbation risk or phenotype.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Q24. What should be assessed before treatment?</w:t>
      </w:r>
    </w:p>
    <w:p>
      <w:pPr>
        <w:spacing w:after="140" w:line="283" w:lineRule="auto"/>
      </w:pPr>
      <w:r>
        <w:rPr>
          <w:rFonts w:ascii="Aptos" w:hAnsi="Aptos"/>
          <w:b w:val="0"/>
          <w:i w:val="0"/>
          <w:color w:val="24313A"/>
          <w:sz w:val="21"/>
        </w:rPr>
        <w:t>Before treatment, confirm asthma diagnosis and control, review inhaler technique and adherence, verify background controller therapy, assess liver history and testing requirements, review concomitant medicines, and define the add-on objective.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Q25. What should be reviewed after treatment begins?</w:t>
      </w:r>
    </w:p>
    <w:p>
      <w:pPr>
        <w:spacing w:after="140" w:line="283" w:lineRule="auto"/>
      </w:pPr>
      <w:r>
        <w:rPr>
          <w:rFonts w:ascii="Aptos" w:hAnsi="Aptos"/>
          <w:b w:val="0"/>
          <w:i w:val="0"/>
          <w:color w:val="24313A"/>
          <w:sz w:val="21"/>
        </w:rPr>
        <w:t>Review symptoms, reliever use, lung function where appropriate, exacerbations, tolerability, and liver-function monitoring according to local requirements. Continue only when benefit and safety remain clinically acceptable.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Q26. What should the patient be counselled about?</w:t>
      </w:r>
    </w:p>
    <w:p>
      <w:pPr>
        <w:spacing w:after="140" w:line="283" w:lineRule="auto"/>
      </w:pPr>
      <w:r>
        <w:rPr>
          <w:rFonts w:ascii="Aptos" w:hAnsi="Aptos"/>
          <w:b w:val="0"/>
          <w:i w:val="0"/>
          <w:color w:val="24313A"/>
          <w:sz w:val="21"/>
        </w:rPr>
        <w:t>Patients should understand that seratrodast is not for acute attacks, should continue prescribed controller and reliever therapy, should report worsening asthma, and should promptly report symptoms potentially suggestive of hepatic injury.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Q27. What does the evidence say about quality of life or convenience?</w:t>
      </w:r>
    </w:p>
    <w:p>
      <w:pPr>
        <w:spacing w:after="140" w:line="283" w:lineRule="auto"/>
      </w:pPr>
      <w:r>
        <w:rPr>
          <w:rFonts w:ascii="Aptos" w:hAnsi="Aptos"/>
          <w:b w:val="0"/>
          <w:i w:val="0"/>
          <w:color w:val="24313A"/>
          <w:sz w:val="21"/>
        </w:rPr>
        <w:t>The available studies emphasize symptoms, sputum, and physiological outcomes more than validated long-term quality-of-life outcomes. Any patient-experience discussion should remain specific to the measured endpoints.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Q28. Are hard clinical outcomes established?</w:t>
      </w:r>
    </w:p>
    <w:p>
      <w:pPr>
        <w:spacing w:after="140" w:line="283" w:lineRule="auto"/>
      </w:pPr>
      <w:r>
        <w:rPr>
          <w:rFonts w:ascii="Aptos" w:hAnsi="Aptos"/>
          <w:b w:val="0"/>
          <w:i w:val="0"/>
          <w:color w:val="24313A"/>
          <w:sz w:val="21"/>
        </w:rPr>
        <w:t>Evidence for severe-exacerbation reduction, hospitalization, mortality, sustained oral-steroid reduction, or prevention of lung-function decline was not identified. These outcomes must not be implied from symptom or biomarker findings.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Q29. How should statistically significant findings be interpreted?</w:t>
      </w:r>
    </w:p>
    <w:p>
      <w:pPr>
        <w:spacing w:after="140" w:line="283" w:lineRule="auto"/>
      </w:pPr>
      <w:r>
        <w:rPr>
          <w:rFonts w:ascii="Aptos" w:hAnsi="Aptos"/>
          <w:b w:val="0"/>
          <w:i w:val="0"/>
          <w:color w:val="24313A"/>
          <w:sz w:val="21"/>
        </w:rPr>
        <w:t>Selected significant secondary endpoints should be interpreted alongside neutral FEV1 or PEF findings, multiple comparisons, sample size, and short duration. Statistical significance does not establish broad clinical superiority.</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Q30. How should neutral findings be presented?</w:t>
      </w:r>
    </w:p>
    <w:p>
      <w:pPr>
        <w:spacing w:after="140" w:line="283" w:lineRule="auto"/>
      </w:pPr>
      <w:r>
        <w:rPr>
          <w:rFonts w:ascii="Aptos" w:hAnsi="Aptos"/>
          <w:b w:val="0"/>
          <w:i w:val="0"/>
          <w:color w:val="24313A"/>
          <w:sz w:val="21"/>
        </w:rPr>
        <w:t>The sputum study found minimal pulmonary-function effect despite positive secretion and symptom findings, and the hyperresponsiveness study found no significant change in exhaled nitric oxide or sputum eosinophils. These neutral results are essential fair balance.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Q31. What role does pharmacovigilance play?</w:t>
      </w:r>
    </w:p>
    <w:p>
      <w:pPr>
        <w:spacing w:after="140" w:line="283" w:lineRule="auto"/>
      </w:pPr>
      <w:r>
        <w:rPr>
          <w:rFonts w:ascii="Aptos" w:hAnsi="Aptos"/>
          <w:b w:val="0"/>
          <w:i w:val="0"/>
          <w:color w:val="24313A"/>
          <w:sz w:val="21"/>
        </w:rPr>
        <w:t>Pharmacovigilance is central because serious hepatic events emerged after marketing. The monograph must reconcile current India safety data, sponsor reports, regulator communications, and monitoring requirements before external use.</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Q32. How should guideline context be discussed?</w:t>
      </w:r>
    </w:p>
    <w:p>
      <w:pPr>
        <w:spacing w:after="140" w:line="283" w:lineRule="auto"/>
      </w:pPr>
      <w:r>
        <w:rPr>
          <w:rFonts w:ascii="Aptos" w:hAnsi="Aptos"/>
          <w:b w:val="0"/>
          <w:i w:val="0"/>
          <w:color w:val="24313A"/>
          <w:sz w:val="21"/>
        </w:rPr>
        <w:t>Current GINA strategy emphasizes inhaled corticosteroid-containing therapy and does not establish seratrodast as a mainstream global pathway. The local add-on approval can be discussed without implying guideline-preferred status.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Q33. Can foreign-label information be used?</w:t>
      </w:r>
    </w:p>
    <w:p>
      <w:pPr>
        <w:spacing w:after="140" w:line="283" w:lineRule="auto"/>
      </w:pPr>
      <w:r>
        <w:rPr>
          <w:rFonts w:ascii="Aptos" w:hAnsi="Aptos"/>
          <w:b w:val="0"/>
          <w:i w:val="0"/>
          <w:color w:val="24313A"/>
          <w:sz w:val="21"/>
        </w:rPr>
        <w:t>Japanese dosing and safety information can support scientific understanding and risk identification only when clearly labelled by jurisdiction. It cannot define India-facing prescribing instructions without confirmation.</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Q34. What must be obtained before external use?</w:t>
      </w:r>
    </w:p>
    <w:p>
      <w:pPr>
        <w:spacing w:after="140" w:line="283" w:lineRule="auto"/>
      </w:pPr>
      <w:r>
        <w:rPr>
          <w:rFonts w:ascii="Aptos" w:hAnsi="Aptos"/>
          <w:b w:val="0"/>
          <w:i w:val="0"/>
          <w:color w:val="24313A"/>
          <w:sz w:val="21"/>
        </w:rPr>
        <w:t>Before external use, obtain the current India-approved package insert, exact hepatic monitoring and contraindication language, sponsor product particulars, updated India pharmacovigilance data, verified study numbers, and all required approvals.</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Q35. What should a reviewer verify in every study table?</w:t>
      </w:r>
    </w:p>
    <w:p>
      <w:pPr>
        <w:spacing w:after="140" w:line="283" w:lineRule="auto"/>
      </w:pPr>
      <w:r>
        <w:rPr>
          <w:rFonts w:ascii="Aptos" w:hAnsi="Aptos"/>
          <w:b w:val="0"/>
          <w:i w:val="0"/>
          <w:color w:val="24313A"/>
          <w:sz w:val="21"/>
        </w:rPr>
        <w:t>Reviewers should verify population, background inhaled corticosteroid therapy, dose, comparator, duration, endpoint hierarchy, absolute results, p-values, adverse events, hepatic findings, and limitations against the original publication.</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Q36. What future evidence would most improve confidence?</w:t>
      </w:r>
    </w:p>
    <w:p>
      <w:pPr>
        <w:spacing w:after="140" w:line="283" w:lineRule="auto"/>
      </w:pPr>
      <w:r>
        <w:rPr>
          <w:rFonts w:ascii="Aptos" w:hAnsi="Aptos"/>
          <w:b w:val="0"/>
          <w:i w:val="0"/>
          <w:color w:val="24313A"/>
          <w:sz w:val="21"/>
        </w:rPr>
        <w:t>Priority research includes long-term India effectiveness and safety, hepatic-risk characterization, validated responder biomarkers, exacerbation outcomes, contemporary comparator studies, and a formally conducted systematic review.</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Q37. How should new evidence be added to the monograph?</w:t>
      </w:r>
    </w:p>
    <w:p>
      <w:pPr>
        <w:spacing w:after="140" w:line="283" w:lineRule="auto"/>
      </w:pPr>
      <w:r>
        <w:rPr>
          <w:rFonts w:ascii="Aptos" w:hAnsi="Aptos"/>
          <w:b w:val="0"/>
          <w:i w:val="0"/>
          <w:color w:val="24313A"/>
          <w:sz w:val="21"/>
        </w:rPr>
        <w:t>New evidence should be added only after source verification, assessment of label relevance, pharmacovigilance review, claim-impact analysis, and controlled approval. Emerging preclinical findings should remain clearly investigational.</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pPr>
        <w:pStyle w:val="Heading2"/>
        <w:keepNext/>
      </w:pPr>
      <w:r>
        <w:rPr>
          <w:rFonts w:ascii="Aptos" w:hAnsi="Aptos"/>
          <w:b/>
          <w:i w:val="0"/>
          <w:color w:val="137C7B"/>
          <w:sz w:val="25"/>
        </w:rPr>
        <w:t>Q38. What is the correct conclusion for a busy HCP?</w:t>
      </w:r>
    </w:p>
    <w:p>
      <w:pPr>
        <w:spacing w:after="140" w:line="283" w:lineRule="auto"/>
      </w:pPr>
      <w:r>
        <w:rPr>
          <w:rFonts w:ascii="Aptos" w:hAnsi="Aptos"/>
          <w:b w:val="0"/>
          <w:i w:val="0"/>
          <w:color w:val="24313A"/>
          <w:sz w:val="21"/>
        </w:rPr>
        <w:t>Seratrodast is a mechanistically distinct, locally approved oral add-on option with evidence for selected asthma symptoms and airway measures. Its place is constrained by limited contemporary outcome evidence and a serious hepatic-safety signal requiring prominent assessment.</w:t>
      </w:r>
    </w:p>
    <w:p>
      <w:pPr>
        <w:spacing w:after="180" w:line="283" w:lineRule="auto"/>
      </w:pPr>
      <w:r>
        <w:rPr>
          <w:rFonts w:ascii="Aptos" w:hAnsi="Aptos"/>
          <w:b w:val="0"/>
          <w:i w:val="0"/>
          <w:color w:val="5D6A73"/>
          <w:sz w:val="21"/>
        </w:rPr>
        <w:t>Control boundary: This answer summarizes the current evidence cut-off for seratrodast. It must be reconciled with the current India-approved package insert and reviewed for the intended use before distribution.</w:t>
      </w:r>
    </w:p>
    <w:p>
      <w:r>
        <w:br w:type="page"/>
      </w:r>
    </w:p>
    <w:p>
      <w:pPr>
        <w:pStyle w:val="Heading1"/>
        <w:keepNext/>
      </w:pPr>
      <w:r>
        <w:rPr>
          <w:rFonts w:ascii="Aptos" w:hAnsi="Aptos"/>
          <w:b/>
          <w:i w:val="0"/>
          <w:color w:val="18324A"/>
          <w:sz w:val="32"/>
        </w:rPr>
        <w:t>Appendix: Scientific and Clinical Interpretation Glossary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This glossary standardizes the language used to interpret the seratrodast evidence base. It is intended to prevent important statistical, regulatory, and clinical terms from being used loosely.</w:t>
            </w:r>
          </w:p>
        </w:tc>
      </w:tr>
    </w:tbl>
    <w:p>
      <w:pPr>
        <w:spacing w:after="40"/>
      </w:pPr>
    </w:p>
    <w:tbl>
      <w:tblPr>
        <w:tblStyle w:val="TableGrid"/>
        <w:tblW w:type="auto" w:w="0"/>
        <w:jc w:val="center"/>
        <w:tblLayout w:type="fixed"/>
        <w:tblLook w:firstColumn="1" w:firstRow="1" w:lastColumn="0" w:lastRow="0" w:noHBand="0" w:noVBand="1" w:val="04A0"/>
      </w:tblPr>
      <w:tblGrid>
        <w:gridCol w:w="2232"/>
        <w:gridCol w:w="6768"/>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Term</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Working definition and interpretation control</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Absolute effect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observed difference expressed in the original measurement unit, such as percentage-point HbA1c change, liters per second of peak flow, or number of patients with an event. Absolute effects are often more clinically interpretable than relative descriptions.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Active-controlled trial</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comparing an investigational or study medicine with another active medicine. It can answer comparative questions but must be interpreted according to design, comparator dose, background therapy, endpoint, and statistical objective.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Add-on therapy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treatment used in addition to an existing regimen rather than as a replacement. The term does not mean the background therapy can be stopped, reduced, or ignored unless the approved label and evidence specifically support that action.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Adverse event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Any unfavorable medical occurrence after treatment, regardless of whether it is considered caused by the medicine. Adverse-event frequency alone does not establish causality, and comparison requires similar ascertainment and exposure.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Adverse drug reaction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adverse event for which a causal relationship to the medicine is considered at least reasonably possible under the applicable assessment framework. Regulatory definitions and frequency categories should be followed precisely.</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Analysis population</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group of randomized or treated participants included in a statistical analysis, such as intention-to-treat, modified intention-to-treat, per-protocol, or safety populations. Different populations can produce different estimates.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Assay sensitivity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ability of a trial to distinguish an effective treatment from a less effective or ineffective one. It is especially important in non-inferiority studies because an insensitive trial can make treatments appear similar.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Background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continued by participants while the study medicine or comparator is added. Background therapy shapes applicability, treatment effect, and safety, and must be stated when interpreting add-on studies.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Bias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systematic influence that can distort a study result. Open-label treatment, selective reporting, loss to follow-up, inadequate randomization, unblinded assessment, and post-hoc analysis are common sources requiring consideration.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practical importance of an observed effect to patients and clinicians. Clinical significance depends on effect magnitude, endpoint importance, duration, burden, safety, and alternatives, not only on statistical significance.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Confidence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range expressing uncertainty around an estimated treatment effect. The interval helps assess precision and, in superiority or non-inferiority studies, whether the result crosses clinically or statistically important boundaries.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Controlled claim</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statement whose exact wording, evidence source, label status, limitations, fair-balance text, review disposition, and intended use are recorded. A controlled claim is not automatically approved for promotion.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Effect modifier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patient or study characteristic associated with different treatment effects across subgroups. Apparent effect modification requires careful interpretation and preferably prespecified, adequately powered analysis.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Evidence cut-off</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date through which the evidence search and safety review are considered current. New studies, regulatory changes, corrections, or safety signals after this date require an update assessment.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Exploratory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endpoint intended mainly to generate hypotheses rather than support definitive conclusions. Exploratory findings are useful for research planning but should not be presented with the certainty of a prespecified primary endpoint.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External validity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extent to which a study result can be applied beyond the studied participants, sites, treatment context, and duration. Geography, disease severity, background treatment, and eligibility criteria strongly influence generalizability.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Fair balance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Presentation of benefit, risk, limitations, uncertainty, and alternatives with appropriate prominence and proximity. Fair balance is a scientific and compliance requirement, not merely a formatting exercise.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Hard clinical outcome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patient-important event such as death, hospitalization, severe exacerbation, kidney failure, or cardiovascular event. A surrogate or biomarker may correlate with risk but does not automatically prove improvement in hard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Hazard or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Information suggesting a new or incompletely characterized possible causal association between a medicine and an event. Signals require evaluation and do not always establish causality or incidence.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Intention-to-treat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principle that generally includes randomized participants according to assigned treatment. It preserves randomization benefits, although handling of missing data and protocol deviations still matters.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Jurisdiction-specific label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approved prescribing information applicable in a particular country or region. Indications, doses, contraindications, warnings, and legal requirements can differ between jurisdictions and must not be blended.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plausibility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biologically reasonable explanation for how a medicine might produce an effect. Plausibility supports research and interpretation but cannot replace direct clinical evidence of benefit or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Meta-analysis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statistical synthesis of results from multiple studies. Its validity depends on the quality, similarity, completeness, and reporting of included studies; pooled precision cannot correct biased or weak primary evidence.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Missing-data method</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statistical approach used when outcome data are unavailable. Attrition and the chosen method can influence results, particularly in non-inferiority trials and studies with substantial discontinuation.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Non-inferiority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conclusion that a new treatment is not worse than an active comparator by more than a prespecified acceptable margin for a defined endpoint. It does not establish superiority or equality for all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Open-label study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in which participants and investigators know the assigned treatment. Open-label designs can be appropriate but are more vulnerable to expectation and assessment bias, especially for subjective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Patient-reported outcome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measure reported directly by a patient, such as symptoms, treatment satisfaction, or quality of life. Validated instruments, blinding, missing data, and clinical meaning should be considered.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Per-protocol analysis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focused on participants who sufficiently followed the protocol. It can be important in non-inferiority assessment but may introduce bias because treatment adherence and exclusions are not random.</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Pharmacodynamics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What the medicine does to the body, target, pathway, biomarker, or physiological response. Pharmacodynamic activity can support dosing rationale but is not always equivalent to clinical benefit.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Pharmacokinetics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What the body does to the medicine through absorption, distribution, metabolism, and excretion. PK becomes clinically meaningful when connected to dose, timing, interactions, organ impairment, and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Post-marketing evidence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Safety or effectiveness information generated after approval through surveillance, reports, studies, or real-world data. It can identify uncommon risks and broader-use patterns not captured in trials.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Primary endpoint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main outcome prespecified to answer a trial's central question. Interpretation should consider the statistical plan, effect size, confidence interval, missing data, and whether the endpoint is clinically important.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trial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study assigning participants to interventions by a random process. Proper randomization reduces confounding, but trial credibility also depends on allocation concealment, blinding, conduct, analysis, and reporting.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Real-world evidence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evidence derived from routine-care data sources. It can improve generalizability and safety understanding but is vulnerable to confounding, measurement error, selection, and incomplete data.</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Responder 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analysis classifying participants according to a response threshold. Threshold justification, missing-data handling, baseline risk, and absolute responder numbers are needed for meaningful interpretation.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Statistical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finding unlikely under a specified null hypothesis at a chosen threshold. It does not measure effect size, clinical importance, study quality, or the probability that a claim is true.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Surrogate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laboratory, biomarker, or intermediate outcome used in place of a direct patient-important outcome. Surrogates can support efficacy assessment but may not reliably predict clinical benefit in every setting.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Systematic review</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structured evidence synthesis using a prespecified question, search, eligibility criteria, appraisal, and transparent methods. A broad literature search is valuable but should not be called systematic unless those standards are met.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Treatment-emergent adverse event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event beginning or worsening after treatment exposure under a study definition. Frequency comparisons require attention to exposure duration, ascertainment, baseline events, and analysis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Uncertainty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range of plausible interpretations remaining because of sampling variation, bias, limited duration, missing evidence, or generalizability concerns. A trustworthy monograph states uncertainty explicitly.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TP receptor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thromboxane A2/prostaglandin H2 receptor through which thromboxane-related signaling can affect smooth-muscle tone, platelets, vascular responses, and airway biology. Seratrodast acts as an antagonist at this receptor.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Airway hyperresponsiveness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exaggerated airway-narrowing response to stimuli. Improvement in a provocation measure can support physiological activity but is not identical to improvement in symptoms, exacerbations, or long-term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Mucociliary clearance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coordinated movement of airway mucus by cilia. Selected seratrodast evidence describes changes in sputum characteristics and nasal clearance time in a small, specifically selected study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Add-on asthma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used in addition to foundational asthma management. It must not be interpreted as a rescue medicine or as permission to stop inhaled corticosteroid-containing therapy.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Hepatic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body of evidence suggesting possible serious liver injury, including post-marketing reports and regulatory action. The signal requires prominent assessment, monitoring, and jurisdiction-specific prescribing controls.</w:t>
            </w:r>
          </w:p>
        </w:tc>
      </w:tr>
    </w:tbl>
    <w:p>
      <w:pPr>
        <w:spacing w:after="40"/>
      </w:pPr>
    </w:p>
    <w:p>
      <w:r>
        <w:br w:type="page"/>
      </w:r>
    </w:p>
    <w:p>
      <w:pPr>
        <w:pStyle w:val="Heading1"/>
        <w:keepNext/>
      </w:pPr>
      <w:r>
        <w:rPr>
          <w:rFonts w:ascii="Aptos" w:hAnsi="Aptos"/>
          <w:b/>
          <w:i w:val="0"/>
          <w:color w:val="18324A"/>
          <w:sz w:val="32"/>
        </w:rPr>
        <w:t>Appendix: Fifteen Clinical Review Lenses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How to use these lenses</w:t>
            </w:r>
          </w:p>
          <w:p>
            <w:pPr>
              <w:spacing w:after="0" w:line="276" w:lineRule="auto"/>
            </w:pPr>
            <w:r>
              <w:rPr>
                <w:rFonts w:ascii="Aptos" w:hAnsi="Aptos"/>
                <w:b w:val="0"/>
                <w:i w:val="0"/>
                <w:color w:val="24313A"/>
                <w:sz w:val="19"/>
              </w:rPr>
              <w:t>Before using any statement from this monograph, reviewers should examine the seratrodast evidence through each lens below. Together they protect against attractive but incomplete interpretation.</w:t>
            </w:r>
          </w:p>
        </w:tc>
      </w:tr>
    </w:tbl>
    <w:p>
      <w:pPr>
        <w:spacing w:after="40"/>
      </w:pPr>
    </w:p>
    <w:p>
      <w:pPr>
        <w:pStyle w:val="Heading2"/>
        <w:keepNext/>
      </w:pPr>
      <w:r>
        <w:rPr>
          <w:rFonts w:ascii="Aptos" w:hAnsi="Aptos"/>
          <w:b/>
          <w:i w:val="0"/>
          <w:color w:val="137C7B"/>
          <w:sz w:val="25"/>
        </w:rPr>
        <w:t>1. Patient lens</w:t>
      </w:r>
    </w:p>
    <w:p>
      <w:pPr>
        <w:spacing w:after="140" w:line="283" w:lineRule="auto"/>
      </w:pPr>
      <w:r>
        <w:rPr>
          <w:rFonts w:ascii="Aptos" w:hAnsi="Aptos"/>
          <w:b w:val="0"/>
          <w:i w:val="0"/>
          <w:color w:val="24313A"/>
          <w:sz w:val="21"/>
        </w:rPr>
        <w:t>Is the patient in front of the clinician meaningfully similar to the studied population, including disease severity, age, organ function, background therapy, and treatment objective? If not, the uncertainty should be stated rather than hidden.</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2. Endpoint lens</w:t>
      </w:r>
    </w:p>
    <w:p>
      <w:pPr>
        <w:spacing w:after="140" w:line="283" w:lineRule="auto"/>
      </w:pPr>
      <w:r>
        <w:rPr>
          <w:rFonts w:ascii="Aptos" w:hAnsi="Aptos"/>
          <w:b w:val="0"/>
          <w:i w:val="0"/>
          <w:color w:val="24313A"/>
          <w:sz w:val="21"/>
        </w:rPr>
        <w:t>Does the study measure a direct patient-important outcome, a validated clinical outcome, a symptom scale, a physiological measure, or an exploratory biomarker? The wording should become more cautious as the endpoint becomes more indirect.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3. Comparator lens</w:t>
      </w:r>
    </w:p>
    <w:p>
      <w:pPr>
        <w:spacing w:after="140" w:line="283" w:lineRule="auto"/>
      </w:pPr>
      <w:r>
        <w:rPr>
          <w:rFonts w:ascii="Aptos" w:hAnsi="Aptos"/>
          <w:b w:val="0"/>
          <w:i w:val="0"/>
          <w:color w:val="24313A"/>
          <w:sz w:val="21"/>
        </w:rPr>
        <w:t>Was the comparator appropriate, correctly dosed, and relevant to current practice? A favorable result against one comparator does not establish superiority to all alternatives or to the current standard of care.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4. Duration lens</w:t>
      </w:r>
    </w:p>
    <w:p>
      <w:pPr>
        <w:spacing w:after="140" w:line="283" w:lineRule="auto"/>
      </w:pPr>
      <w:r>
        <w:rPr>
          <w:rFonts w:ascii="Aptos" w:hAnsi="Aptos"/>
          <w:b w:val="0"/>
          <w:i w:val="0"/>
          <w:color w:val="24313A"/>
          <w:sz w:val="21"/>
        </w:rPr>
        <w:t>Was follow-up long enough to assess the intended benefit and important harms? Short studies can characterize early efficacy but usually cannot establish durability, uncommon safety events, or long-term clinical outcomes.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5. Magnitude lens</w:t>
      </w:r>
    </w:p>
    <w:p>
      <w:pPr>
        <w:spacing w:after="140" w:line="283" w:lineRule="auto"/>
      </w:pPr>
      <w:r>
        <w:rPr>
          <w:rFonts w:ascii="Aptos" w:hAnsi="Aptos"/>
          <w:b w:val="0"/>
          <w:i w:val="0"/>
          <w:color w:val="24313A"/>
          <w:sz w:val="21"/>
        </w:rPr>
        <w:t>How large is the observed effect in absolute and clinically understandable terms? A small difference can be statistically convincing but of limited practical importance, while a meaningful effect can remain imprecise in a small study.</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6. Precision lens</w:t>
      </w:r>
    </w:p>
    <w:p>
      <w:pPr>
        <w:spacing w:after="140" w:line="283" w:lineRule="auto"/>
      </w:pPr>
      <w:r>
        <w:rPr>
          <w:rFonts w:ascii="Aptos" w:hAnsi="Aptos"/>
          <w:b w:val="0"/>
          <w:i w:val="0"/>
          <w:color w:val="24313A"/>
          <w:sz w:val="21"/>
        </w:rPr>
        <w:t>How wide is the confidence interval, and what clinically important effects remain compatible with it? Precision should influence the certainty of conclusions and the prominence of limitations.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7. Design lens</w:t>
      </w:r>
    </w:p>
    <w:p>
      <w:pPr>
        <w:spacing w:after="140" w:line="283" w:lineRule="auto"/>
      </w:pPr>
      <w:r>
        <w:rPr>
          <w:rFonts w:ascii="Aptos" w:hAnsi="Aptos"/>
          <w:b w:val="0"/>
          <w:i w:val="0"/>
          <w:color w:val="24313A"/>
          <w:sz w:val="21"/>
        </w:rPr>
        <w:t>Was the study randomized, blinded, controlled, and prospectively analyzed? Design strengths increase confidence, while open-label, uncontrolled, retrospective, or post-hoc findings require explicit restraint.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8. Missing-data lens</w:t>
      </w:r>
    </w:p>
    <w:p>
      <w:pPr>
        <w:spacing w:after="140" w:line="283" w:lineRule="auto"/>
      </w:pPr>
      <w:r>
        <w:rPr>
          <w:rFonts w:ascii="Aptos" w:hAnsi="Aptos"/>
          <w:b w:val="0"/>
          <w:i w:val="0"/>
          <w:color w:val="24313A"/>
          <w:sz w:val="21"/>
        </w:rPr>
        <w:t>How many participants discontinued or lacked outcome data, why were data missing, and how were they handled? Missing data can materially alter both superiority and non-inferiority conclusions.</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9. Safety lens</w:t>
      </w:r>
    </w:p>
    <w:p>
      <w:pPr>
        <w:spacing w:after="140" w:line="283" w:lineRule="auto"/>
      </w:pPr>
      <w:r>
        <w:rPr>
          <w:rFonts w:ascii="Aptos" w:hAnsi="Aptos"/>
          <w:b w:val="0"/>
          <w:i w:val="0"/>
          <w:color w:val="24313A"/>
          <w:sz w:val="21"/>
        </w:rPr>
        <w:t>Were adverse events actively collected, were exposure times comparable, and was the sample large enough to identify uncommon risks? Safety conclusions should integrate trials with post-marketing and regulator evidence.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10. Jurisdiction lens</w:t>
      </w:r>
    </w:p>
    <w:p>
      <w:pPr>
        <w:spacing w:after="140" w:line="283" w:lineRule="auto"/>
      </w:pPr>
      <w:r>
        <w:rPr>
          <w:rFonts w:ascii="Aptos" w:hAnsi="Aptos"/>
          <w:b w:val="0"/>
          <w:i w:val="0"/>
          <w:color w:val="24313A"/>
          <w:sz w:val="21"/>
        </w:rPr>
        <w:t>Is the statement a scientific finding, a foreign-label fact, or a current India-approved prescribing statement? These categories must remain visibly separate in wording, layout, review, and intended use.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11. Guideline lens</w:t>
      </w:r>
    </w:p>
    <w:p>
      <w:pPr>
        <w:spacing w:after="140" w:line="283" w:lineRule="auto"/>
      </w:pPr>
      <w:r>
        <w:rPr>
          <w:rFonts w:ascii="Aptos" w:hAnsi="Aptos"/>
          <w:b w:val="0"/>
          <w:i w:val="0"/>
          <w:color w:val="24313A"/>
          <w:sz w:val="21"/>
        </w:rPr>
        <w:t>How does the medicine's demonstrated evidence fit with current treatment priorities and recommended pathways? Local approval permits use but does not automatically establish guideline preference or broad treatment priority.</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12. Alternative-therapy lens</w:t>
      </w:r>
    </w:p>
    <w:p>
      <w:pPr>
        <w:spacing w:after="140" w:line="283" w:lineRule="auto"/>
      </w:pPr>
      <w:r>
        <w:rPr>
          <w:rFonts w:ascii="Aptos" w:hAnsi="Aptos"/>
          <w:b w:val="0"/>
          <w:i w:val="0"/>
          <w:color w:val="24313A"/>
          <w:sz w:val="21"/>
        </w:rPr>
        <w:t>What other therapies address the same clinical problem, and which outcomes have they demonstrated? Balanced selection considers what the patient may gain or forgo with each option.</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13. Practical-use lens</w:t>
      </w:r>
    </w:p>
    <w:p>
      <w:pPr>
        <w:spacing w:after="140" w:line="283" w:lineRule="auto"/>
      </w:pPr>
      <w:r>
        <w:rPr>
          <w:rFonts w:ascii="Aptos" w:hAnsi="Aptos"/>
          <w:b w:val="0"/>
          <w:i w:val="0"/>
          <w:color w:val="24313A"/>
          <w:sz w:val="21"/>
        </w:rPr>
        <w:t>Can the regimen be administered, monitored, understood, and sustained safely in the actual care setting? Convenience, complexity, caregiver support, medication errors, and monitoring burden all influence real clinical value.</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14. Conflict and transparency lens</w:t>
      </w:r>
    </w:p>
    <w:p>
      <w:pPr>
        <w:spacing w:after="140" w:line="283" w:lineRule="auto"/>
      </w:pPr>
      <w:r>
        <w:rPr>
          <w:rFonts w:ascii="Aptos" w:hAnsi="Aptos"/>
          <w:b w:val="0"/>
          <w:i w:val="0"/>
          <w:color w:val="24313A"/>
          <w:sz w:val="21"/>
        </w:rPr>
        <w:t>Who funded, designed, conducted, analyzed, and published the study? Sponsorship does not invalidate evidence, but transparent disclosure and independent verification strengthen trust.</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pPr>
        <w:pStyle w:val="Heading2"/>
        <w:keepNext/>
      </w:pPr>
      <w:r>
        <w:rPr>
          <w:rFonts w:ascii="Aptos" w:hAnsi="Aptos"/>
          <w:b/>
          <w:i w:val="0"/>
          <w:color w:val="137C7B"/>
          <w:sz w:val="25"/>
        </w:rPr>
        <w:t>15. Update lens</w:t>
      </w:r>
    </w:p>
    <w:p>
      <w:pPr>
        <w:spacing w:after="140" w:line="283" w:lineRule="auto"/>
      </w:pPr>
      <w:r>
        <w:rPr>
          <w:rFonts w:ascii="Aptos" w:hAnsi="Aptos"/>
          <w:b w:val="0"/>
          <w:i w:val="0"/>
          <w:color w:val="24313A"/>
          <w:sz w:val="21"/>
        </w:rPr>
        <w:t>Could new safety information, label revisions, guidelines, or studies have changed the conclusion since the evidence cut-off? The most polished monograph becomes unreliable if it is not actively maintained.</w:t>
      </w:r>
    </w:p>
    <w:p>
      <w:pPr>
        <w:spacing w:after="140" w:line="283" w:lineRule="auto"/>
      </w:pPr>
      <w:r>
        <w:rPr>
          <w:rFonts w:ascii="Aptos" w:hAnsi="Aptos"/>
          <w:b w:val="0"/>
          <w:i w:val="0"/>
          <w:color w:val="5D6A73"/>
          <w:sz w:val="21"/>
        </w:rPr>
        <w:t>Application to seratrodast: record the reviewer's conclusion and any required wording change in the claim-source matrix before approval.</w:t>
      </w:r>
    </w:p>
    <w:p>
      <w:r>
        <w:br w:type="page"/>
      </w:r>
    </w:p>
    <w:p>
      <w:pPr>
        <w:pStyle w:val="Heading1"/>
        <w:keepNext/>
      </w:pPr>
      <w:r>
        <w:rPr>
          <w:rFonts w:ascii="Aptos" w:hAnsi="Aptos"/>
          <w:b/>
          <w:i w:val="0"/>
          <w:color w:val="18324A"/>
          <w:sz w:val="32"/>
        </w:rPr>
        <w:t>Appendix: Detailed Hepatic-Risk Review for Seratrodast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Why this appendix is mandatory</w:t>
            </w:r>
          </w:p>
          <w:p>
            <w:pPr>
              <w:spacing w:after="0" w:line="276" w:lineRule="auto"/>
            </w:pPr>
            <w:r>
              <w:rPr>
                <w:rFonts w:ascii="Aptos" w:hAnsi="Aptos"/>
                <w:b w:val="0"/>
                <w:i w:val="0"/>
                <w:color w:val="24313A"/>
                <w:sz w:val="19"/>
              </w:rPr>
              <w:t>The hepatic-risk signal is the most consequential safety issue identified for seratrodast. It must be understood in detail, remain prominent, and be reconciled with the current India-approved package insert before external use.</w:t>
            </w:r>
          </w:p>
        </w:tc>
      </w:tr>
    </w:tbl>
    <w:p>
      <w:pPr>
        <w:spacing w:after="40"/>
      </w:pPr>
    </w:p>
    <w:p>
      <w:pPr>
        <w:spacing w:after="140" w:line="283" w:lineRule="auto"/>
      </w:pPr>
      <w:r>
        <w:rPr>
          <w:rFonts w:ascii="Aptos" w:hAnsi="Aptos"/>
          <w:b/>
          <w:i w:val="0"/>
          <w:color w:val="18324A"/>
          <w:sz w:val="21"/>
        </w:rPr>
        <w:t xml:space="preserve">What was observed before approval? </w:t>
      </w:r>
      <w:r>
        <w:rPr>
          <w:rFonts w:ascii="Aptos" w:hAnsi="Aptos"/>
          <w:b w:val="0"/>
          <w:i w:val="0"/>
          <w:color w:val="24313A"/>
          <w:sz w:val="21"/>
        </w:rPr>
        <w:t>Japanese regulatory safety information reports abnormal liver-function tests in 28 of 824 patients, or 3.4%, during preapproval clinical development. This denominator provides useful signal context, but it does not by itself establish the incidence of serious hepatic injury or predict risk in Indian practice. The result should remain linked to its jurisdiction, development period, and ascertainment method.</w:t>
      </w:r>
    </w:p>
    <w:p>
      <w:pPr>
        <w:spacing w:after="140" w:line="283" w:lineRule="auto"/>
      </w:pPr>
      <w:r>
        <w:rPr>
          <w:rFonts w:ascii="Aptos" w:hAnsi="Aptos"/>
          <w:b/>
          <w:i w:val="0"/>
          <w:color w:val="18324A"/>
          <w:sz w:val="21"/>
        </w:rPr>
        <w:t xml:space="preserve">What changed after marketing? </w:t>
      </w:r>
      <w:r>
        <w:rPr>
          <w:rFonts w:ascii="Aptos" w:hAnsi="Aptos"/>
          <w:b w:val="0"/>
          <w:i w:val="0"/>
          <w:color w:val="24313A"/>
          <w:sz w:val="21"/>
        </w:rPr>
        <w:t>Post-marketing experience identified serious hepatic dysfunction, jaundice, and fulminant hepatitis, including fatal cases. These observations changed the practical safety narrative from routine laboratory abnormality to a potentially life-threatening risk requiring active monitoring and clinical response. Individual reports do not prove causality in every case, but their seriousness justifies prominent risk mitigation.</w:t>
      </w:r>
    </w:p>
    <w:p>
      <w:pPr>
        <w:spacing w:after="140" w:line="283" w:lineRule="auto"/>
      </w:pPr>
      <w:r>
        <w:rPr>
          <w:rFonts w:ascii="Aptos" w:hAnsi="Aptos"/>
          <w:b/>
          <w:i w:val="0"/>
          <w:color w:val="18324A"/>
          <w:sz w:val="21"/>
        </w:rPr>
        <w:t xml:space="preserve">How many serious cases were described in the PMDA communication? </w:t>
      </w:r>
      <w:r>
        <w:rPr>
          <w:rFonts w:ascii="Aptos" w:hAnsi="Aptos"/>
          <w:b w:val="0"/>
          <w:i w:val="0"/>
          <w:color w:val="24313A"/>
          <w:sz w:val="21"/>
        </w:rPr>
        <w:t>The reviewed PMDA safety communication describes 49 serious hepatic-dysfunction cases during the early post-marketing period, including four cases of fulminant hepatitis. Four deaths involving fulminant hepatitis were reported within approximately two years and three months after launch, although causality was not established in every case. These numbers must be reproduced only with their source and limitations.</w:t>
      </w:r>
    </w:p>
    <w:p>
      <w:pPr>
        <w:spacing w:after="140" w:line="283" w:lineRule="auto"/>
      </w:pPr>
      <w:r>
        <w:rPr>
          <w:rFonts w:ascii="Aptos" w:hAnsi="Aptos"/>
          <w:b/>
          <w:i w:val="0"/>
          <w:color w:val="18324A"/>
          <w:sz w:val="21"/>
        </w:rPr>
        <w:t xml:space="preserve">When can hepatic injury occur? </w:t>
      </w:r>
      <w:r>
        <w:rPr>
          <w:rFonts w:ascii="Aptos" w:hAnsi="Aptos"/>
          <w:b w:val="0"/>
          <w:i w:val="0"/>
          <w:color w:val="24313A"/>
          <w:sz w:val="21"/>
        </w:rPr>
        <w:t>Reported onset extended across treatment periods up to approximately 33 weeks, showing that early normal tests cannot be treated as permanent reassurance. Monitoring and patient education must continue according to the approved local requirements. The time-course evidence also argues against restricting vigilance to the first few days or weeks.</w:t>
      </w:r>
    </w:p>
    <w:p>
      <w:pPr>
        <w:spacing w:after="140" w:line="283" w:lineRule="auto"/>
      </w:pPr>
      <w:r>
        <w:rPr>
          <w:rFonts w:ascii="Aptos" w:hAnsi="Aptos"/>
          <w:b/>
          <w:i w:val="0"/>
          <w:color w:val="18324A"/>
          <w:sz w:val="21"/>
        </w:rPr>
        <w:t xml:space="preserve">How severe were reported laboratory abnormalities? </w:t>
      </w:r>
      <w:r>
        <w:rPr>
          <w:rFonts w:ascii="Aptos" w:hAnsi="Aptos"/>
          <w:b w:val="0"/>
          <w:i w:val="0"/>
          <w:color w:val="24313A"/>
          <w:sz w:val="21"/>
        </w:rPr>
        <w:t>The PMDA communication includes cases with very high aminotransferases and bilirubin, including a reported maximum ALT/GPT of 1,760 and total bilirubin of 38.7 mg/dL. A described fatal case presented after 197 days of 80-mg daily treatment with marked aminotransferase elevation, hyperbilirubinemia, progressive coagulopathy, encephalopathy, and death. Such examples illustrate severity but do not define typical presentation.</w:t>
      </w:r>
    </w:p>
    <w:p>
      <w:pPr>
        <w:spacing w:after="140" w:line="283" w:lineRule="auto"/>
      </w:pPr>
      <w:r>
        <w:rPr>
          <w:rFonts w:ascii="Aptos" w:hAnsi="Aptos"/>
          <w:b/>
          <w:i w:val="0"/>
          <w:color w:val="18324A"/>
          <w:sz w:val="21"/>
        </w:rPr>
        <w:t xml:space="preserve">What happened after recognition and management? </w:t>
      </w:r>
      <w:r>
        <w:rPr>
          <w:rFonts w:ascii="Aptos" w:hAnsi="Aptos"/>
          <w:b w:val="0"/>
          <w:i w:val="0"/>
          <w:color w:val="24313A"/>
          <w:sz w:val="21"/>
        </w:rPr>
        <w:t>Among evaluable non-fulminant cases with known outcomes in the reviewed communication, most improved within approximately 12 weeks. This supports the importance of timely recognition, discontinuation when indicated, and appropriate management. It must not be interpreted as reassurance that all cases are reversible or that delayed action is acceptable.</w:t>
      </w:r>
    </w:p>
    <w:p>
      <w:pPr>
        <w:spacing w:after="140" w:line="283" w:lineRule="auto"/>
      </w:pPr>
      <w:r>
        <w:rPr>
          <w:rFonts w:ascii="Aptos" w:hAnsi="Aptos"/>
          <w:b/>
          <w:i w:val="0"/>
          <w:color w:val="18324A"/>
          <w:sz w:val="21"/>
        </w:rPr>
        <w:t xml:space="preserve">What monitoring is stated in Japanese information? </w:t>
      </w:r>
      <w:r>
        <w:rPr>
          <w:rFonts w:ascii="Aptos" w:hAnsi="Aptos"/>
          <w:b w:val="0"/>
          <w:i w:val="0"/>
          <w:color w:val="24313A"/>
          <w:sz w:val="21"/>
        </w:rPr>
        <w:t>Japanese product information requires liver-function testing once monthly and careful use in hepatic impairment. This clear jurisdiction-specific instruction should be visible in the scientific monograph because it informs risk understanding. Whether the same frequency and action thresholds apply in India must be verified from the current India-approved package insert.</w:t>
      </w:r>
    </w:p>
    <w:p>
      <w:pPr>
        <w:spacing w:after="140" w:line="283" w:lineRule="auto"/>
      </w:pPr>
      <w:r>
        <w:rPr>
          <w:rFonts w:ascii="Aptos" w:hAnsi="Aptos"/>
          <w:b/>
          <w:i w:val="0"/>
          <w:color w:val="18324A"/>
          <w:sz w:val="21"/>
        </w:rPr>
        <w:t xml:space="preserve">Which symptoms deserve patient education? </w:t>
      </w:r>
      <w:r>
        <w:rPr>
          <w:rFonts w:ascii="Aptos" w:hAnsi="Aptos"/>
          <w:b w:val="0"/>
          <w:i w:val="0"/>
          <w:color w:val="24313A"/>
          <w:sz w:val="21"/>
        </w:rPr>
        <w:t>Although final counselling language must follow the approved India label, clinicians generally need to consider symptoms compatible with hepatic dysfunction, such as unusual fatigue, anorexia, nausea, dark urine, jaundice, or right-upper-quadrant discomfort. Patient education should support prompt assessment without creating false reassurance or alarm. The monograph must not replace clinical evaluation.</w:t>
      </w:r>
    </w:p>
    <w:p>
      <w:pPr>
        <w:spacing w:after="140" w:line="283" w:lineRule="auto"/>
      </w:pPr>
      <w:r>
        <w:rPr>
          <w:rFonts w:ascii="Aptos" w:hAnsi="Aptos"/>
          <w:b/>
          <w:i w:val="0"/>
          <w:color w:val="18324A"/>
          <w:sz w:val="21"/>
        </w:rPr>
        <w:t xml:space="preserve">How should concomitant medicines be considered? </w:t>
      </w:r>
      <w:r>
        <w:rPr>
          <w:rFonts w:ascii="Aptos" w:hAnsi="Aptos"/>
          <w:b w:val="0"/>
          <w:i w:val="0"/>
          <w:color w:val="24313A"/>
          <w:sz w:val="21"/>
        </w:rPr>
        <w:t>A full medication review should identify other medicines, supplements, alcohol exposure, and conditions that can affect the liver or complicate causal assessment. Concomitant risk does not prove that seratrodast caused an event, but it influences patient selection, monitoring, differential diagnosis, and benefit-risk review. India-specific interaction and contraindication language remains package-insert controlled.</w:t>
      </w:r>
    </w:p>
    <w:p>
      <w:pPr>
        <w:spacing w:after="140" w:line="283" w:lineRule="auto"/>
      </w:pPr>
      <w:r>
        <w:rPr>
          <w:rFonts w:ascii="Aptos" w:hAnsi="Aptos"/>
          <w:b/>
          <w:i w:val="0"/>
          <w:color w:val="18324A"/>
          <w:sz w:val="21"/>
        </w:rPr>
        <w:t xml:space="preserve">How should liver safety affect patient selection? </w:t>
      </w:r>
      <w:r>
        <w:rPr>
          <w:rFonts w:ascii="Aptos" w:hAnsi="Aptos"/>
          <w:b w:val="0"/>
          <w:i w:val="0"/>
          <w:color w:val="24313A"/>
          <w:sz w:val="21"/>
        </w:rPr>
        <w:t>A credible add-on rationale must be weighed against hepatic history, baseline status, monitoring feasibility, available alternatives, and the clinical importance of the residual asthma problem. The known signal makes seratrodast unsuitable for casual or poorly monitored use. Exact exclusions and contraindications must come from the current India label.</w:t>
      </w:r>
    </w:p>
    <w:p>
      <w:pPr>
        <w:spacing w:after="140" w:line="283" w:lineRule="auto"/>
      </w:pPr>
      <w:r>
        <w:rPr>
          <w:rFonts w:ascii="Aptos" w:hAnsi="Aptos"/>
          <w:b/>
          <w:i w:val="0"/>
          <w:color w:val="18324A"/>
          <w:sz w:val="21"/>
        </w:rPr>
        <w:t xml:space="preserve">How should the benefit-risk conversation be framed? </w:t>
      </w:r>
      <w:r>
        <w:rPr>
          <w:rFonts w:ascii="Aptos" w:hAnsi="Aptos"/>
          <w:b w:val="0"/>
          <w:i w:val="0"/>
          <w:color w:val="24313A"/>
          <w:sz w:val="21"/>
        </w:rPr>
        <w:t>The potential benefit is supported mainly by selected symptom, airway-response, secretion, and lung-function findings, whereas the hepatic signal includes rare but serious post-marketing events. The HCP should therefore define a clear treatment objective and reassess whether observed benefit justifies continued exposure. This is a clinical decision framework, not a prescribing recommendation.</w:t>
      </w:r>
    </w:p>
    <w:p>
      <w:pPr>
        <w:spacing w:after="140" w:line="283" w:lineRule="auto"/>
      </w:pPr>
      <w:r>
        <w:rPr>
          <w:rFonts w:ascii="Aptos" w:hAnsi="Aptos"/>
          <w:b/>
          <w:i w:val="0"/>
          <w:color w:val="18324A"/>
          <w:sz w:val="21"/>
        </w:rPr>
        <w:t xml:space="preserve">What evidence remains missing? </w:t>
      </w:r>
      <w:r>
        <w:rPr>
          <w:rFonts w:ascii="Aptos" w:hAnsi="Aptos"/>
          <w:b w:val="0"/>
          <w:i w:val="0"/>
          <w:color w:val="24313A"/>
          <w:sz w:val="21"/>
        </w:rPr>
        <w:t>The public evidence reviewed does not provide a complete contemporary India estimate of hepatic-event incidence, validated risk factors, optimal monitoring effectiveness, or outcomes across routine use. Sponsor pharmacovigilance data, current periodic safety reports, and the approved India package insert are therefore essential before finalization. Absence of public evidence must not be interpreted as absence of risk.</w:t>
      </w:r>
    </w:p>
    <w:p>
      <w:pPr>
        <w:spacing w:after="140" w:line="283" w:lineRule="auto"/>
      </w:pPr>
      <w:r>
        <w:rPr>
          <w:rFonts w:ascii="Aptos" w:hAnsi="Aptos"/>
          <w:b/>
          <w:i w:val="0"/>
          <w:color w:val="18324A"/>
          <w:sz w:val="21"/>
        </w:rPr>
        <w:t xml:space="preserve">How should abnormal laboratory results be interpreted? </w:t>
      </w:r>
      <w:r>
        <w:rPr>
          <w:rFonts w:ascii="Aptos" w:hAnsi="Aptos"/>
          <w:b w:val="0"/>
          <w:i w:val="0"/>
          <w:color w:val="24313A"/>
          <w:sz w:val="21"/>
        </w:rPr>
        <w:t>An abnormal liver test requires interpretation in the context of baseline values, symptoms, timing, concomitant medicines, alcohol exposure, viral and autoimmune causes, biliary disease, and other clinical findings. The monograph should encourage timely assessment without pretending that a single value proves or excludes drug-induced liver injury. Exact interruption and discontinuation criteria must follow approved local guidance and qualified clinical judgment.</w:t>
      </w:r>
    </w:p>
    <w:p>
      <w:pPr>
        <w:spacing w:after="140" w:line="283" w:lineRule="auto"/>
      </w:pPr>
      <w:r>
        <w:rPr>
          <w:rFonts w:ascii="Aptos" w:hAnsi="Aptos"/>
          <w:b/>
          <w:i w:val="0"/>
          <w:color w:val="18324A"/>
          <w:sz w:val="21"/>
        </w:rPr>
        <w:t xml:space="preserve">Why is regular monitoring not a guarantee of safety? </w:t>
      </w:r>
      <w:r>
        <w:rPr>
          <w:rFonts w:ascii="Aptos" w:hAnsi="Aptos"/>
          <w:b w:val="0"/>
          <w:i w:val="0"/>
          <w:color w:val="24313A"/>
          <w:sz w:val="21"/>
        </w:rPr>
        <w:t>Periodic testing can support earlier detection, but injury may evolve between scheduled assessments and some patients may develop symptoms before the next planned test. Monitoring therefore works together with patient education, clinician vigilance, access to testing, and prompt action. A monitoring recommendation must never be written in a way that implies serious hepatic injury is fully preventable.</w:t>
      </w:r>
    </w:p>
    <w:p>
      <w:pPr>
        <w:spacing w:after="140" w:line="283" w:lineRule="auto"/>
      </w:pPr>
      <w:r>
        <w:rPr>
          <w:rFonts w:ascii="Aptos" w:hAnsi="Aptos"/>
          <w:b/>
          <w:i w:val="0"/>
          <w:color w:val="18324A"/>
          <w:sz w:val="21"/>
        </w:rPr>
        <w:t xml:space="preserve">How should hepatic risk appear visually? </w:t>
      </w:r>
      <w:r>
        <w:rPr>
          <w:rFonts w:ascii="Aptos" w:hAnsi="Aptos"/>
          <w:b w:val="0"/>
          <w:i w:val="0"/>
          <w:color w:val="24313A"/>
          <w:sz w:val="21"/>
        </w:rPr>
        <w:t>The risk must be visible in the executive summary, safety chapter, practical-use pathway, patient-counselling section, and claim-source matrix. It should use clear hierarchy and readable typography without sensationalism. If benefit statements are easy to find while the hepatic signal is buried in an appendix, the monograph has failed fair balance even if the words are technically present.</w:t>
      </w:r>
    </w:p>
    <w:p>
      <w:pPr>
        <w:spacing w:after="140" w:line="283" w:lineRule="auto"/>
      </w:pPr>
      <w:r>
        <w:rPr>
          <w:rFonts w:ascii="Aptos" w:hAnsi="Aptos"/>
          <w:b/>
          <w:i w:val="0"/>
          <w:color w:val="18324A"/>
          <w:sz w:val="21"/>
        </w:rPr>
        <w:t xml:space="preserve">What is the correct final safety conclusion? </w:t>
      </w:r>
      <w:r>
        <w:rPr>
          <w:rFonts w:ascii="Aptos" w:hAnsi="Aptos"/>
          <w:b w:val="0"/>
          <w:i w:val="0"/>
          <w:color w:val="24313A"/>
          <w:sz w:val="21"/>
        </w:rPr>
        <w:t>Seratrodast has a recognized serious hepatic-risk signal that materially affects selection, monitoring, counselling, and continuation decisions. The available evidence supports prominent caution and jurisdiction-specific verification rather than an absolute statement about incidence or predictability. External use remains blocked until current India prescribing and pharmacovigilance information is fully reconciled and approved.</w:t>
      </w:r>
    </w:p>
    <w:p>
      <w:pPr>
        <w:spacing w:after="140" w:line="283" w:lineRule="auto"/>
      </w:pPr>
      <w:r>
        <w:rPr>
          <w:rFonts w:ascii="Aptos" w:hAnsi="Aptos"/>
          <w:b/>
          <w:i w:val="0"/>
          <w:color w:val="18324A"/>
          <w:sz w:val="21"/>
        </w:rPr>
        <w:t xml:space="preserve">What should an audit trail demonstrate? </w:t>
      </w:r>
      <w:r>
        <w:rPr>
          <w:rFonts w:ascii="Aptos" w:hAnsi="Aptos"/>
          <w:b w:val="0"/>
          <w:i w:val="0"/>
          <w:color w:val="24313A"/>
          <w:sz w:val="21"/>
        </w:rPr>
        <w:t>The final audit trail should show which hepatic sources were consulted, which numerical details were independently verified, how current India safety information was reconciled, why each risk statement was worded as written, and who approved it. It should also record unresolved uncertainty and future update triggers. This makes the safety chapter reproducible, reviewable, and resistant to gradual dilution in later derivative materials and future field-support documents.</w:t>
      </w: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9A553A"/>
            <w:tcMar>
              <w:top w:w="100" w:type="dxa"/>
              <w:start w:w="120" w:type="dxa"/>
              <w:bottom w:w="100" w:type="dxa"/>
              <w:end w:w="120" w:type="dxa"/>
            </w:tcMar>
            <w:vAlign w:val="center"/>
          </w:tcPr>
          <w:p>
            <w:pPr>
              <w:jc w:val="center"/>
            </w:pPr>
            <w:r/>
            <w:r>
              <w:rPr>
                <w:rFonts w:ascii="Aptos" w:hAnsi="Aptos"/>
                <w:b/>
                <w:i w:val="0"/>
                <w:color w:val="FFFFFF"/>
                <w:sz w:val="16"/>
              </w:rPr>
              <w:t>Hepatic-risk control</w:t>
            </w:r>
          </w:p>
        </w:tc>
        <w:tc>
          <w:tcPr>
            <w:tcW w:type="dxa" w:w="4824"/>
            <w:shd w:fill="9A553A"/>
            <w:tcMar>
              <w:top w:w="100" w:type="dxa"/>
              <w:start w:w="120" w:type="dxa"/>
              <w:bottom w:w="100" w:type="dxa"/>
              <w:end w:w="120" w:type="dxa"/>
            </w:tcMar>
            <w:vAlign w:val="center"/>
          </w:tcPr>
          <w:p>
            <w:pPr>
              <w:jc w:val="center"/>
            </w:pPr>
            <w:r/>
            <w:r>
              <w:rPr>
                <w:rFonts w:ascii="Aptos" w:hAnsi="Aptos"/>
                <w:b/>
                <w:i w:val="0"/>
                <w:color w:val="FFFFFF"/>
                <w:sz w:val="16"/>
              </w:rPr>
              <w:t>Required action before release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India label verification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Insert exact contraindication, warning, monitoring, discontinuation, and special-population language</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PV reconciliation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Review current sponsor safety database, PSUR/PBRER, regulatory communications, and signal status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Claim review</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Ensure every efficacy or place-in-therapy summary carries proportionate hepatic-risk context</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Visual review</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Confirm the hepatic warning is not buried, minimized, clipped, or less legible than efficacy content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Human approval</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Obtain medical, regulatory, pharmacovigilance, legal, and compliance approval</w:t>
            </w:r>
          </w:p>
        </w:tc>
      </w:tr>
    </w:tbl>
    <w:p>
      <w:pPr>
        <w:spacing w:after="40"/>
      </w:pPr>
    </w:p>
    <w:p>
      <w:r>
        <w:br w:type="page"/>
      </w:r>
    </w:p>
    <w:p>
      <w:pPr>
        <w:pStyle w:val="Heading1"/>
        <w:keepNext/>
      </w:pPr>
      <w:r>
        <w:rPr>
          <w:rFonts w:ascii="Aptos" w:hAnsi="Aptos"/>
          <w:b/>
          <w:i w:val="0"/>
          <w:color w:val="18324A"/>
          <w:sz w:val="32"/>
        </w:rPr>
        <w:t>Part 2: India Prescribing Information - Controlled Placeholder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Release blocker</w:t>
            </w:r>
          </w:p>
          <w:p>
            <w:pPr>
              <w:spacing w:after="0" w:line="276" w:lineRule="auto"/>
            </w:pPr>
            <w:r>
              <w:rPr>
                <w:rFonts w:ascii="Aptos" w:hAnsi="Aptos"/>
                <w:b w:val="0"/>
                <w:i w:val="0"/>
                <w:color w:val="24313A"/>
                <w:sz w:val="19"/>
              </w:rPr>
              <w:t>The current authority-approved India package insert for seratrodast was not supplied or retrieved in a form suitable for verbatim incorporation. No reconstructed or inferred prescribing information is presented as authoritative.</w:t>
            </w:r>
          </w:p>
        </w:tc>
      </w:tr>
    </w:tbl>
    <w:p>
      <w:pPr>
        <w:spacing w:after="40"/>
      </w:pPr>
    </w:p>
    <w:p>
      <w:pPr>
        <w:pStyle w:val="Heading2"/>
        <w:keepNext/>
      </w:pPr>
      <w:r>
        <w:rPr>
          <w:rFonts w:ascii="Aptos" w:hAnsi="Aptos"/>
          <w:b/>
          <w:i w:val="0"/>
          <w:color w:val="137C7B"/>
          <w:sz w:val="25"/>
        </w:rPr>
        <w:t>Required approved content</w:t>
      </w:r>
    </w:p>
    <w:p>
      <w:pPr>
        <w:pStyle w:val="ListBullet"/>
        <w:spacing w:after="80" w:line="269" w:lineRule="auto"/>
      </w:pPr>
      <w:r>
        <w:rPr>
          <w:rFonts w:ascii="Aptos" w:hAnsi="Aptos"/>
          <w:b w:val="0"/>
          <w:i w:val="0"/>
          <w:color w:val="24313A"/>
          <w:sz w:val="19"/>
        </w:rPr>
        <w:t>Brand and active ingredient presentation, dosage form, strength, route, pack, storage, legal category, MAH, and company address.</w:t>
      </w:r>
    </w:p>
    <w:p>
      <w:pPr>
        <w:pStyle w:val="ListBullet"/>
        <w:spacing w:after="80" w:line="269" w:lineRule="auto"/>
      </w:pPr>
      <w:r>
        <w:rPr>
          <w:rFonts w:ascii="Aptos" w:hAnsi="Aptos"/>
          <w:b w:val="0"/>
          <w:i w:val="0"/>
          <w:color w:val="24313A"/>
          <w:sz w:val="19"/>
        </w:rPr>
        <w:t>Exact approved indication and patient population.</w:t>
      </w:r>
    </w:p>
    <w:p>
      <w:pPr>
        <w:pStyle w:val="ListBullet"/>
        <w:spacing w:after="80" w:line="269" w:lineRule="auto"/>
      </w:pPr>
      <w:r>
        <w:rPr>
          <w:rFonts w:ascii="Aptos" w:hAnsi="Aptos"/>
          <w:b w:val="0"/>
          <w:i w:val="0"/>
          <w:color w:val="24313A"/>
          <w:sz w:val="19"/>
        </w:rPr>
        <w:t>Exact dosage, administration, missed-dose instructions, adjustment rules, and treatment duration.</w:t>
      </w:r>
    </w:p>
    <w:p>
      <w:pPr>
        <w:pStyle w:val="ListBullet"/>
        <w:spacing w:after="80" w:line="269" w:lineRule="auto"/>
      </w:pPr>
      <w:r>
        <w:rPr>
          <w:rFonts w:ascii="Aptos" w:hAnsi="Aptos"/>
          <w:b w:val="0"/>
          <w:i w:val="0"/>
          <w:color w:val="24313A"/>
          <w:sz w:val="19"/>
        </w:rPr>
        <w:t>Contraindications, serious warnings, precautions, interactions, adverse reactions, overdose, and special-population language.</w:t>
      </w:r>
    </w:p>
    <w:p>
      <w:pPr>
        <w:pStyle w:val="ListBullet"/>
        <w:spacing w:after="80" w:line="269" w:lineRule="auto"/>
      </w:pPr>
      <w:r>
        <w:rPr>
          <w:rFonts w:ascii="Aptos" w:hAnsi="Aptos"/>
          <w:b w:val="0"/>
          <w:i w:val="0"/>
          <w:color w:val="24313A"/>
          <w:sz w:val="19"/>
        </w:rPr>
        <w:t>Current approval, revision, and preparation dates plus further-information statement.</w:t>
      </w:r>
    </w:p>
    <w:p>
      <w:pPr>
        <w:pStyle w:val="Heading2"/>
        <w:keepNext/>
      </w:pPr>
      <w:r>
        <w:rPr>
          <w:rFonts w:ascii="Aptos" w:hAnsi="Aptos"/>
          <w:b/>
          <w:i w:val="0"/>
          <w:color w:val="137C7B"/>
          <w:sz w:val="25"/>
        </w:rPr>
        <w:t>Unresolved product-specific fields</w:t>
      </w:r>
    </w:p>
    <w:p>
      <w:pPr>
        <w:pStyle w:val="ListBullet"/>
        <w:spacing w:after="80" w:line="269" w:lineRule="auto"/>
      </w:pPr>
      <w:r>
        <w:rPr>
          <w:rFonts w:ascii="Aptos" w:hAnsi="Aptos"/>
          <w:b w:val="0"/>
          <w:i w:val="0"/>
          <w:color w:val="24313A"/>
          <w:sz w:val="19"/>
        </w:rPr>
        <w:t>Exact India-approved dose, meal timing, maximum dose, duration, and elderly instructions.</w:t>
      </w:r>
    </w:p>
    <w:p>
      <w:pPr>
        <w:pStyle w:val="ListBullet"/>
        <w:spacing w:after="80" w:line="269" w:lineRule="auto"/>
      </w:pPr>
      <w:r>
        <w:rPr>
          <w:rFonts w:ascii="Aptos" w:hAnsi="Aptos"/>
          <w:b w:val="0"/>
          <w:i w:val="0"/>
          <w:color w:val="24313A"/>
          <w:sz w:val="19"/>
        </w:rPr>
        <w:t>India contraindications and hepatic-impairment wording.</w:t>
      </w:r>
    </w:p>
    <w:p>
      <w:pPr>
        <w:pStyle w:val="ListBullet"/>
        <w:spacing w:after="80" w:line="269" w:lineRule="auto"/>
      </w:pPr>
      <w:r>
        <w:rPr>
          <w:rFonts w:ascii="Aptos" w:hAnsi="Aptos"/>
          <w:b w:val="0"/>
          <w:i w:val="0"/>
          <w:color w:val="24313A"/>
          <w:sz w:val="19"/>
        </w:rPr>
        <w:t>India liver-function monitoring requirement and action thresholds.</w:t>
      </w:r>
    </w:p>
    <w:p>
      <w:pPr>
        <w:pStyle w:val="ListBullet"/>
        <w:spacing w:after="80" w:line="269" w:lineRule="auto"/>
      </w:pPr>
      <w:r>
        <w:rPr>
          <w:rFonts w:ascii="Aptos" w:hAnsi="Aptos"/>
          <w:b w:val="0"/>
          <w:i w:val="0"/>
          <w:color w:val="24313A"/>
          <w:sz w:val="19"/>
        </w:rPr>
        <w:t>India-approved adverse-reaction frequencies, interactions, pregnancy, lactation, pediatric, and geriatric wording.</w:t>
      </w:r>
    </w:p>
    <w:p>
      <w:pPr>
        <w:pStyle w:val="ListBullet"/>
        <w:spacing w:after="80" w:line="269" w:lineRule="auto"/>
      </w:pPr>
      <w:r>
        <w:rPr>
          <w:rFonts w:ascii="Aptos" w:hAnsi="Aptos"/>
          <w:b w:val="0"/>
          <w:i w:val="0"/>
          <w:color w:val="24313A"/>
          <w:sz w:val="19"/>
        </w:rPr>
        <w:t>Current India MAH, brand, pack, storage, legal category, and revision date.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Control rule</w:t>
            </w:r>
          </w:p>
          <w:p>
            <w:pPr>
              <w:spacing w:after="0" w:line="276" w:lineRule="auto"/>
            </w:pPr>
            <w:r>
              <w:rPr>
                <w:rFonts w:ascii="Aptos" w:hAnsi="Aptos"/>
                <w:b w:val="0"/>
                <w:i w:val="0"/>
                <w:color w:val="24313A"/>
                <w:sz w:val="19"/>
              </w:rPr>
              <w:t>The approved India prescribing information must be inserted without scientific rewriting, then independently checked against the source document before this monograph can progress beyond qualification draft status.</w:t>
            </w:r>
          </w:p>
        </w:tc>
      </w:tr>
    </w:tbl>
    <w:p>
      <w:pPr>
        <w:spacing w:after="40"/>
      </w:pPr>
    </w:p>
    <w:p>
      <w:r>
        <w:br w:type="page"/>
      </w:r>
    </w:p>
    <w:p>
      <w:pPr>
        <w:pStyle w:val="Heading1"/>
        <w:keepNext/>
      </w:pPr>
      <w:r>
        <w:rPr>
          <w:rFonts w:ascii="Aptos" w:hAnsi="Aptos"/>
          <w:b/>
          <w:i w:val="0"/>
          <w:color w:val="18324A"/>
          <w:sz w:val="32"/>
        </w:rPr>
        <w:t>Claim-Source and Fair-Balance Matrix</w:t>
      </w:r>
    </w:p>
    <w:p>
      <w:pPr>
        <w:spacing w:after="140" w:line="283" w:lineRule="auto"/>
      </w:pPr>
      <w:r>
        <w:rPr>
          <w:rFonts w:ascii="Aptos" w:hAnsi="Aptos"/>
          <w:b w:val="0"/>
          <w:i w:val="0"/>
          <w:color w:val="24313A"/>
          <w:sz w:val="21"/>
        </w:rPr>
        <w:t>The following matrix controls high-value statements about seratrodast. It is an internal review tool and does not confer promotional approval.</w:t>
      </w:r>
    </w:p>
    <w:tbl>
      <w:tblPr>
        <w:tblStyle w:val="TableGrid"/>
        <w:tblW w:type="auto" w:w="0"/>
        <w:jc w:val="center"/>
        <w:tblLayout w:type="fixed"/>
        <w:tblLook w:firstColumn="1" w:firstRow="1" w:lastColumn="0" w:lastRow="0" w:noHBand="0" w:noVBand="1" w:val="04A0"/>
      </w:tblPr>
      <w:tblGrid>
        <w:gridCol w:w="648"/>
        <w:gridCol w:w="2592"/>
        <w:gridCol w:w="1944"/>
        <w:gridCol w:w="2736"/>
        <w:gridCol w:w="1080"/>
      </w:tblGrid>
      <w:tr>
        <w:trPr>
          <w:tblHeader w:val="true"/>
        </w:trPr>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ID</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Controlled statement</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Evidence anchor</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Boundary / fair balance</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Status</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is an oral TP-receptor antagonist.</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PMID 9357394; J-STAGE discovery review</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Mechanism does not establish superiority.</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lists seratrodast 40 mg and 80 mg as add-on therapy in bronchial asthma.</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approved-drug list</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Exact current package-insert wording still required.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 small placebo-controlled study reported selected sputum and symptom improvements with minimal pulmonary-function effect.</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PMID 10893362</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Small selected population and short duration required.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Japanese safety information identifies serious hepatic injury and monthly liver-function monitoring.</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PMDA safety bulletin</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Jurisdiction-qualified; India wording unverified.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SE-05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is superior to or should replace standard controller therapy.</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No adequate support</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SE-06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Seratrodast reduces severe exacerbations, hospitalization, or mortality.</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No adequate outcome evidence identified</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Unsupported.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Prohibited</w:t>
            </w:r>
          </w:p>
        </w:tc>
      </w:tr>
    </w:tbl>
    <w:p>
      <w:pPr>
        <w:spacing w:after="40"/>
      </w:pPr>
    </w:p>
    <w:p>
      <w:r>
        <w:br w:type="page"/>
      </w:r>
    </w:p>
    <w:p>
      <w:pPr>
        <w:pStyle w:val="Heading1"/>
        <w:keepNext/>
      </w:pPr>
      <w:r>
        <w:rPr>
          <w:rFonts w:ascii="Aptos" w:hAnsi="Aptos"/>
          <w:b/>
          <w:i w:val="0"/>
          <w:color w:val="18324A"/>
          <w:sz w:val="32"/>
        </w:rPr>
        <w:t>Reference and Open-Web Source Register</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Search method</w:t>
            </w:r>
          </w:p>
          <w:p>
            <w:pPr>
              <w:spacing w:after="0" w:line="276" w:lineRule="auto"/>
            </w:pPr>
            <w:r>
              <w:rPr>
                <w:rFonts w:ascii="Aptos" w:hAnsi="Aptos"/>
                <w:b w:val="0"/>
                <w:i w:val="0"/>
                <w:color w:val="24313A"/>
                <w:sz w:val="19"/>
              </w:rPr>
              <w:t>Sources were discovered through PubMed, PubMed Central, regulator portals, trial-linked articles, open-access journal pages, and open-web citation chaining. Google Scholar is treated only as a discovery route; original publications and regulator records remain the evidence source.</w:t>
            </w:r>
          </w:p>
        </w:tc>
      </w:tr>
    </w:tbl>
    <w:p>
      <w:pPr>
        <w:spacing w:after="40"/>
      </w:pPr>
    </w:p>
    <w:p>
      <w:pPr>
        <w:spacing w:after="140" w:line="283" w:lineRule="auto"/>
      </w:pPr>
      <w:r>
        <w:rPr>
          <w:rFonts w:ascii="Aptos" w:hAnsi="Aptos"/>
          <w:b w:val="0"/>
          <w:i w:val="0"/>
          <w:color w:val="24313A"/>
          <w:sz w:val="21"/>
        </w:rPr>
        <w:t>Reference handling follows a bibliography-first approach. Each line in the source register is written as a controlled citation with a stable locator so the review team can trace the origin quickly, but the narrative sections are still responsible for summarising what the evidence actually means. This keeps the document readable for HCP review while preserving the audit trail needed for scientific, regulatory, and legal checking.</w:t>
      </w:r>
    </w:p>
    <w:p>
      <w:pPr>
        <w:spacing w:after="140" w:line="283" w:lineRule="auto"/>
      </w:pPr>
      <w:r>
        <w:rPr>
          <w:rFonts w:ascii="Aptos" w:hAnsi="Aptos"/>
          <w:b w:val="0"/>
          <w:i w:val="0"/>
          <w:color w:val="24313A"/>
          <w:sz w:val="21"/>
        </w:rPr>
        <w:t>The register also acts as a control checkpoint for source quality. Regulator documents, sponsor-hosted product pages, package inserts, and peer-reviewed full text are not interchangeable, even when they discuss the same molecule. The review team should therefore check whether a citation is being used to support jurisdiction-specific labelling, mechanistic background, comparative efficacy, safety, or simply historical context. This distinction is especially important when a product monograph is being prepared before the current India-approved package insert has been secured, because the same English sentence can be scientifically true in one jurisdiction and legally unusable in another.</w:t>
      </w:r>
    </w:p>
    <w:tbl>
      <w:tblPr>
        <w:tblStyle w:val="TableGrid"/>
        <w:tblW w:type="auto" w:w="0"/>
        <w:jc w:val="center"/>
        <w:tblLayout w:type="fixed"/>
        <w:tblLook w:firstColumn="1" w:firstRow="1" w:lastColumn="0" w:lastRow="0" w:noHBand="0" w:noVBand="1" w:val="04A0"/>
      </w:tblPr>
      <w:tblGrid>
        <w:gridCol w:w="504"/>
        <w:gridCol w:w="5256"/>
        <w:gridCol w:w="3240"/>
      </w:tblGrid>
      <w:tr>
        <w:trPr>
          <w:tblHeader w:val="true"/>
        </w:trPr>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No.</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Vancouver-style reference</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Stable URL</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CDSCO. Approved-drug list: seratrodast 40 mg and 80 mg, add-on therapy in bronchial asthma.</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https://cdsco.gov.in/opencms/resources/UploadCDSCOWeb/2018/UploadApprovalMarketingFDC/LIST-OF-APPROVED-DRUG-2012%281%29.pdf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Pulmonary NDAC recommendations for seratrodast.</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https://cdsco.gov.in/opencms/resources/UploadCDSCOWeb/2018/UploadCommitteeFiles/NDACPulmonary_10.pdf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Seratrodast hepatic safety bulletin.</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https://www.pmda.go.jp/safety/info-services/drugs/calling-attention/safety-info/0148.html</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Japanese electronic package insert mirror: Bronica.</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https://shirobon.net/imgview.php?param1=4490018F2020&amp;param2=PDF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Samara E, et al. Population PK/PD analysis. Clin Pharmacol Ther. 1997;62:426-435. PMID 9357394.</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https://pubmed.ncbi.nlm.nih.gov/9357394/</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Tamaoki J, et al. Effect on sputum production and physicochemical properties. Chest. 2000;118:73-79. PMID 10893362.</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https://pubmed.ncbi.nlm.nih.gov/10893362/</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Aizawa H, et al. Airway hyperresponsiveness, exhaled NO, and sputum eosinophils. PMID 9844991.</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https://pubmed.ncbi.nlm.nih.gov/9844991/</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Muramatsu H, et al. Clinical effects and 11-dehydrothromboxane B2. PMID 11517517.</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https://pubmed.ncbi.nlm.nih.gov/11517517/</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9</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Dewan B, et al. Seratrodast versus montelukast in Indian adults with asthma.</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https://imsear.searo.who.int/items/3683f1dc-4268-464d-9b58-424ae89f4cd3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10</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Open-access full text: Indian seratrodast versus montelukast study.</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https://imsear.searo.who.int/bitstream/123456789/182422/1/bjmmr2016v12n12p1-13.pdf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Discovery of seratrodast as a thromboxane A2 antagonist. J-STAGE.</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https://www.jstage.jst.go.jp/article/yakushi1947/119/5/119_5_377/_article/-char/en</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Seratrodast inhibition of eosinophil activation by prostaglandin D2.</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https://karger.com/iaa/article/124/1-3/365/171217/Eosinophil-Activation-by-Prostaglandin-D2-and-Its</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Seratrodast inhibits ferroptosis in experimental systems. PMCID PMC11584883.</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https://pmc.ncbi.nlm.nih.gov/articles/PMC11584883/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GINA 2026 Strategy Report.</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https://ginasthma.org/wp-content/uploads/2026/05/GINA-2026-Strategy-Report-WMS.pdf</w:t>
            </w:r>
          </w:p>
        </w:tc>
      </w:tr>
    </w:tbl>
    <w:p>
      <w:pPr>
        <w:spacing w:after="40"/>
      </w:pPr>
    </w:p>
    <w:p>
      <w:r>
        <w:br w:type="page"/>
      </w:r>
    </w:p>
    <w:p>
      <w:pPr>
        <w:pStyle w:val="Heading1"/>
        <w:keepNext/>
      </w:pPr>
      <w:r>
        <w:rPr>
          <w:rFonts w:ascii="Aptos" w:hAnsi="Aptos"/>
          <w:b/>
          <w:i w:val="0"/>
          <w:color w:val="18324A"/>
          <w:sz w:val="32"/>
        </w:rPr>
        <w:t>Appendix: Internal Review Questions</w:t>
      </w:r>
    </w:p>
    <w:p>
      <w:pPr>
        <w:pStyle w:val="ListBullet"/>
        <w:spacing w:after="80" w:line="269" w:lineRule="auto"/>
      </w:pPr>
      <w:r>
        <w:rPr>
          <w:rFonts w:ascii="Aptos" w:hAnsi="Aptos"/>
          <w:b w:val="0"/>
          <w:i w:val="0"/>
          <w:color w:val="24313A"/>
          <w:sz w:val="19"/>
        </w:rPr>
        <w:t>Is the India add-on indication reproduced narrowly and accurately?</w:t>
      </w:r>
    </w:p>
    <w:p>
      <w:pPr>
        <w:pStyle w:val="ListBullet"/>
        <w:spacing w:after="80" w:line="269" w:lineRule="auto"/>
      </w:pPr>
      <w:r>
        <w:rPr>
          <w:rFonts w:ascii="Aptos" w:hAnsi="Aptos"/>
          <w:b w:val="0"/>
          <w:i w:val="0"/>
          <w:color w:val="24313A"/>
          <w:sz w:val="19"/>
        </w:rPr>
        <w:t>Are Japanese dose and safety statements visibly jurisdiction-qualified?</w:t>
      </w:r>
    </w:p>
    <w:p>
      <w:pPr>
        <w:pStyle w:val="ListBullet"/>
        <w:spacing w:after="80" w:line="269" w:lineRule="auto"/>
      </w:pPr>
      <w:r>
        <w:rPr>
          <w:rFonts w:ascii="Aptos" w:hAnsi="Aptos"/>
          <w:b w:val="0"/>
          <w:i w:val="0"/>
          <w:color w:val="24313A"/>
          <w:sz w:val="19"/>
        </w:rPr>
        <w:t>Is the hepatic-risk signal prominent in the executive summary, safety chapter, practical monitoring, and claim matrix?</w:t>
      </w:r>
    </w:p>
    <w:p>
      <w:pPr>
        <w:pStyle w:val="ListBullet"/>
        <w:spacing w:after="80" w:line="269" w:lineRule="auto"/>
      </w:pPr>
      <w:r>
        <w:rPr>
          <w:rFonts w:ascii="Aptos" w:hAnsi="Aptos"/>
          <w:b w:val="0"/>
          <w:i w:val="0"/>
          <w:color w:val="24313A"/>
          <w:sz w:val="19"/>
        </w:rPr>
        <w:t>Are positive secondary endpoints balanced by study size, duration, and pulmonary-function limitations?</w:t>
      </w:r>
    </w:p>
    <w:p>
      <w:pPr>
        <w:pStyle w:val="ListBullet"/>
        <w:spacing w:after="80" w:line="269" w:lineRule="auto"/>
      </w:pPr>
      <w:r>
        <w:rPr>
          <w:rFonts w:ascii="Aptos" w:hAnsi="Aptos"/>
          <w:b w:val="0"/>
          <w:i w:val="0"/>
          <w:color w:val="24313A"/>
          <w:sz w:val="19"/>
        </w:rPr>
        <w:t>Is seratrodast clearly distinguished from rescue therapy and guideline-preferred foundational controller therapy?</w:t>
      </w:r>
    </w:p>
    <w:p>
      <w:pPr>
        <w:pStyle w:val="ListBullet"/>
        <w:spacing w:after="80" w:line="269" w:lineRule="auto"/>
      </w:pPr>
      <w:r>
        <w:rPr>
          <w:rFonts w:ascii="Aptos" w:hAnsi="Aptos"/>
          <w:b w:val="0"/>
          <w:i w:val="0"/>
          <w:color w:val="24313A"/>
          <w:sz w:val="19"/>
        </w:rPr>
        <w:t>Has every numerical result been independently reproduced from the original source?</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A73"/>
        <w:sz w:val="14"/>
      </w:rPr>
      <w:t>Controlled qualification draft | Dr. Bhupesh Dewan | Not for prescribing or external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D6A73"/>
        <w:sz w:val="15"/>
      </w:rPr>
      <w:t>ClinCommand OS | Seratrodast | Expanded HCP Scientific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7C7B"/>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