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tblPr>
      <w:tblGrid>
        <w:gridCol w:w="2802"/>
        <w:gridCol w:w="3260"/>
        <w:gridCol w:w="3544"/>
      </w:tblGrid>
      <w:tr w:rsidR="00BF1018" w:rsidRPr="00F6266D" w:rsidTr="00E21689">
        <w:trPr>
          <w:trHeight w:val="983"/>
        </w:trPr>
        <w:tc>
          <w:tcPr>
            <w:tcW w:w="2802" w:type="dxa"/>
            <w:tcBorders>
              <w:left w:val="dotted" w:sz="4" w:space="0" w:color="auto"/>
            </w:tcBorders>
            <w:vAlign w:val="center"/>
          </w:tcPr>
          <w:p w:rsidR="00BF1018" w:rsidRPr="00F6266D" w:rsidRDefault="00BF1018" w:rsidP="00213118">
            <w:pPr>
              <w:pStyle w:val="Header"/>
              <w:jc w:val="center"/>
              <w:rPr>
                <w:rFonts w:ascii="Cambria" w:hAnsi="Cambria"/>
                <w:b/>
                <w:color w:val="000000"/>
              </w:rPr>
            </w:pPr>
            <w:r w:rsidRPr="00F6266D">
              <w:rPr>
                <w:rFonts w:ascii="Cambria" w:hAnsi="Cambria"/>
                <w:b/>
                <w:noProof/>
                <w:color w:val="000000"/>
                <w:lang w:val="en-IN" w:eastAsia="en-IN"/>
              </w:rPr>
              <w:drawing>
                <wp:anchor distT="0" distB="0" distL="114300" distR="114300" simplePos="0" relativeHeight="251659264" behindDoc="0" locked="0" layoutInCell="1" allowOverlap="1">
                  <wp:simplePos x="0" y="0"/>
                  <wp:positionH relativeFrom="column">
                    <wp:posOffset>-1371600</wp:posOffset>
                  </wp:positionH>
                  <wp:positionV relativeFrom="paragraph">
                    <wp:posOffset>3175</wp:posOffset>
                  </wp:positionV>
                  <wp:extent cx="1133475" cy="485775"/>
                  <wp:effectExtent l="1905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133475" cy="485775"/>
                          </a:xfrm>
                          <a:prstGeom prst="rect">
                            <a:avLst/>
                          </a:prstGeom>
                          <a:noFill/>
                          <a:ln w="9525">
                            <a:noFill/>
                            <a:miter lim="800000"/>
                            <a:headEnd/>
                            <a:tailEnd/>
                          </a:ln>
                        </pic:spPr>
                      </pic:pic>
                    </a:graphicData>
                  </a:graphic>
                </wp:anchor>
              </w:drawing>
            </w:r>
          </w:p>
        </w:tc>
        <w:tc>
          <w:tcPr>
            <w:tcW w:w="3260" w:type="dxa"/>
            <w:vAlign w:val="center"/>
          </w:tcPr>
          <w:p w:rsidR="00BF1018" w:rsidRPr="00F6266D" w:rsidRDefault="00BF1018" w:rsidP="00213118">
            <w:pPr>
              <w:pStyle w:val="Header"/>
              <w:rPr>
                <w:rFonts w:ascii="Cambria" w:hAnsi="Cambria" w:cs="Times New Roman"/>
                <w:szCs w:val="24"/>
              </w:rPr>
            </w:pPr>
          </w:p>
        </w:tc>
        <w:tc>
          <w:tcPr>
            <w:tcW w:w="3544" w:type="dxa"/>
            <w:vAlign w:val="center"/>
          </w:tcPr>
          <w:p>
            <w:r>
              <w:t>SOP. No.: COMPANY_MM_05</w:t>
              <w:br/>
              <w:t>Version No.: 1</w:t>
            </w:r>
          </w:p>
        </w:tc>
      </w:tr>
      <w:tr w:rsidR="00BF1018" w:rsidRPr="00F6266D" w:rsidTr="00213118">
        <w:trPr>
          <w:trHeight w:val="323"/>
        </w:trPr>
        <w:tc>
          <w:tcPr>
            <w:tcW w:w="2802" w:type="dxa"/>
            <w:vMerge w:val="restart"/>
            <w:tcBorders>
              <w:left w:val="dotted" w:sz="4" w:space="0" w:color="auto"/>
            </w:tcBorders>
            <w:vAlign w:val="center"/>
          </w:tcPr>
          <w:p>
            <w:r>
              <w:t>Confidential</w:t>
            </w:r>
          </w:p>
        </w:tc>
        <w:tc>
          <w:tcPr>
            <w:tcW w:w="3260" w:type="dxa"/>
            <w:vAlign w:val="center"/>
          </w:tcPr>
          <w:p>
            <w:r>
              <w:t xml:space="preserve">Effective Date: </w:t>
            </w:r>
          </w:p>
        </w:tc>
        <w:tc>
          <w:tcPr>
            <w:tcW w:w="3544" w:type="dxa"/>
            <w:vAlign w:val="center"/>
          </w:tcPr>
          <w:p>
            <w:r>
              <w:t xml:space="preserve">Supersedes: None </w:t>
            </w:r>
          </w:p>
        </w:tc>
      </w:tr>
      <w:tr w:rsidR="002677FA" w:rsidRPr="00F6266D" w:rsidTr="00213118">
        <w:trPr>
          <w:trHeight w:val="323"/>
        </w:trPr>
        <w:tc>
          <w:tcPr>
            <w:tcW w:w="2802" w:type="dxa"/>
            <w:vMerge/>
            <w:tcBorders>
              <w:left w:val="dotted" w:sz="4" w:space="0" w:color="auto"/>
              <w:bottom w:val="dotted" w:sz="4" w:space="0" w:color="auto"/>
            </w:tcBorders>
            <w:vAlign w:val="center"/>
          </w:tcPr>
          <w:p w:rsidR="002677FA" w:rsidRPr="00F6266D" w:rsidRDefault="002677FA" w:rsidP="00213118">
            <w:pPr>
              <w:pStyle w:val="Header"/>
              <w:spacing w:before="40" w:after="40"/>
              <w:jc w:val="center"/>
              <w:rPr>
                <w:rFonts w:ascii="Cambria" w:hAnsi="Cambria"/>
              </w:rPr>
            </w:pPr>
          </w:p>
        </w:tc>
        <w:tc>
          <w:tcPr>
            <w:tcW w:w="6804" w:type="dxa"/>
            <w:gridSpan w:val="2"/>
            <w:tcBorders>
              <w:bottom w:val="dotted" w:sz="4" w:space="0" w:color="auto"/>
            </w:tcBorders>
            <w:vAlign w:val="center"/>
          </w:tcPr>
          <w:p>
            <w:r>
              <w:t xml:space="preserve">Review Date:  </w:t>
            </w:r>
          </w:p>
        </w:tc>
      </w:tr>
      <w:tr w:rsidR="00BF1018" w:rsidRPr="00F6266D" w:rsidTr="00213118">
        <w:trPr>
          <w:trHeight w:val="323"/>
        </w:trPr>
        <w:tc>
          <w:tcPr>
            <w:tcW w:w="9606" w:type="dxa"/>
            <w:gridSpan w:val="3"/>
            <w:vAlign w:val="center"/>
          </w:tcPr>
          <w:p>
            <w:r>
              <w:t>SOP Title: Preparation of Package Insert</w:t>
            </w:r>
          </w:p>
        </w:tc>
      </w:tr>
    </w:tbl>
    <w:p w:rsidR="00BF1018" w:rsidRPr="00BF1018" w:rsidRDefault="00BF1018" w:rsidP="00BF1018">
      <w:pPr>
        <w:rPr>
          <w:rFonts w:ascii="Times New Roman" w:hAnsi="Times New Roman" w:cs="Times New Roman"/>
          <w:b/>
          <w:sz w:val="24"/>
          <w:szCs w:val="24"/>
        </w:rPr>
      </w:pPr>
    </w:p>
    <w:tbl>
      <w:tblPr>
        <w:tblpPr w:leftFromText="180" w:rightFromText="180" w:vertAnchor="text" w:horzAnchor="margin" w:tblpY="28"/>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tblPr>
      <w:tblGrid>
        <w:gridCol w:w="1781"/>
        <w:gridCol w:w="2015"/>
        <w:gridCol w:w="2149"/>
        <w:gridCol w:w="3631"/>
      </w:tblGrid>
      <w:tr w:rsidR="00BF1018" w:rsidRPr="007C0D5B" w:rsidTr="00213118">
        <w:trPr>
          <w:trHeight w:val="557"/>
        </w:trPr>
        <w:tc>
          <w:tcPr>
            <w:tcW w:w="930"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rPr>
            </w:pPr>
          </w:p>
        </w:tc>
        <w:tc>
          <w:tcPr>
            <w:tcW w:w="1052" w:type="pct"/>
            <w:tcBorders>
              <w:top w:val="dotted" w:sz="4" w:space="0" w:color="auto"/>
              <w:left w:val="dotted" w:sz="4" w:space="0" w:color="auto"/>
              <w:bottom w:val="dotted" w:sz="4" w:space="0" w:color="auto"/>
              <w:right w:val="dotted" w:sz="4" w:space="0" w:color="auto"/>
            </w:tcBorders>
            <w:vAlign w:val="center"/>
            <w:hideMark/>
          </w:tcPr>
          <w:p>
            <w:r>
              <w:t>Prepared By</w:t>
            </w:r>
          </w:p>
        </w:tc>
        <w:tc>
          <w:tcPr>
            <w:tcW w:w="1122" w:type="pct"/>
            <w:tcBorders>
              <w:top w:val="dotted" w:sz="4" w:space="0" w:color="auto"/>
              <w:left w:val="dotted" w:sz="4" w:space="0" w:color="auto"/>
              <w:bottom w:val="dotted" w:sz="4" w:space="0" w:color="auto"/>
              <w:right w:val="dotted" w:sz="4" w:space="0" w:color="auto"/>
            </w:tcBorders>
            <w:vAlign w:val="center"/>
            <w:hideMark/>
          </w:tcPr>
          <w:p>
            <w:r>
              <w:t>Reviewed  By</w:t>
            </w:r>
          </w:p>
        </w:tc>
        <w:tc>
          <w:tcPr>
            <w:tcW w:w="1896" w:type="pct"/>
            <w:tcBorders>
              <w:top w:val="dotted" w:sz="4" w:space="0" w:color="auto"/>
              <w:left w:val="dotted" w:sz="4" w:space="0" w:color="auto"/>
              <w:bottom w:val="dotted" w:sz="4" w:space="0" w:color="auto"/>
              <w:right w:val="dotted" w:sz="4" w:space="0" w:color="auto"/>
            </w:tcBorders>
            <w:vAlign w:val="center"/>
            <w:hideMark/>
          </w:tcPr>
          <w:p>
            <w:r>
              <w:t>Approved By</w:t>
            </w:r>
          </w:p>
        </w:tc>
      </w:tr>
      <w:tr w:rsidR="00BF1018" w:rsidRPr="007C0D5B" w:rsidTr="00BF1018">
        <w:trPr>
          <w:trHeight w:val="414"/>
        </w:trPr>
        <w:tc>
          <w:tcPr>
            <w:tcW w:w="930" w:type="pct"/>
            <w:tcBorders>
              <w:top w:val="dotted" w:sz="4" w:space="0" w:color="auto"/>
              <w:left w:val="dotted" w:sz="4" w:space="0" w:color="auto"/>
              <w:bottom w:val="dotted" w:sz="4" w:space="0" w:color="auto"/>
              <w:right w:val="dotted" w:sz="4" w:space="0" w:color="auto"/>
            </w:tcBorders>
            <w:vAlign w:val="center"/>
            <w:hideMark/>
          </w:tcPr>
          <w:p>
            <w:r>
              <w:t xml:space="preserve">Name </w:t>
            </w:r>
          </w:p>
        </w:tc>
        <w:tc>
          <w:tcPr>
            <w:tcW w:w="105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r>
      <w:tr w:rsidR="00BF1018" w:rsidRPr="007C0D5B" w:rsidTr="00BF1018">
        <w:trPr>
          <w:trHeight w:val="419"/>
        </w:trPr>
        <w:tc>
          <w:tcPr>
            <w:tcW w:w="930" w:type="pct"/>
            <w:tcBorders>
              <w:top w:val="dotted" w:sz="4" w:space="0" w:color="auto"/>
              <w:left w:val="dotted" w:sz="4" w:space="0" w:color="auto"/>
              <w:bottom w:val="dotted" w:sz="4" w:space="0" w:color="auto"/>
              <w:right w:val="dotted" w:sz="4" w:space="0" w:color="auto"/>
            </w:tcBorders>
            <w:vAlign w:val="center"/>
            <w:hideMark/>
          </w:tcPr>
          <w:p>
            <w:r>
              <w:t>Designation</w:t>
            </w:r>
          </w:p>
        </w:tc>
        <w:tc>
          <w:tcPr>
            <w:tcW w:w="105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r>
      <w:tr w:rsidR="00BF1018" w:rsidRPr="007C0D5B" w:rsidTr="00BF1018">
        <w:trPr>
          <w:trHeight w:val="553"/>
        </w:trPr>
        <w:tc>
          <w:tcPr>
            <w:tcW w:w="930" w:type="pct"/>
            <w:tcBorders>
              <w:top w:val="dotted" w:sz="4" w:space="0" w:color="auto"/>
              <w:left w:val="dotted" w:sz="4" w:space="0" w:color="auto"/>
              <w:bottom w:val="dotted" w:sz="4" w:space="0" w:color="auto"/>
              <w:right w:val="dotted" w:sz="4" w:space="0" w:color="auto"/>
            </w:tcBorders>
            <w:vAlign w:val="center"/>
            <w:hideMark/>
          </w:tcPr>
          <w:p>
            <w:r>
              <w:t>Sign &amp; date</w:t>
            </w:r>
          </w:p>
        </w:tc>
        <w:tc>
          <w:tcPr>
            <w:tcW w:w="1052"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rPr>
            </w:pPr>
          </w:p>
        </w:tc>
        <w:tc>
          <w:tcPr>
            <w:tcW w:w="1122"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rPr>
            </w:pPr>
          </w:p>
        </w:tc>
        <w:tc>
          <w:tcPr>
            <w:tcW w:w="1896"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bCs/>
              </w:rPr>
            </w:pPr>
          </w:p>
        </w:tc>
      </w:tr>
    </w:tbl>
    <w:p w:rsidR="00BF1018" w:rsidRDefault="00BF1018" w:rsidP="00DF52DA">
      <w:pPr>
        <w:pStyle w:val="ListParagraph"/>
        <w:ind w:left="1080"/>
        <w:rPr>
          <w:rFonts w:ascii="Times New Roman" w:hAnsi="Times New Roman" w:cs="Times New Roman"/>
          <w:b/>
          <w:sz w:val="24"/>
          <w:szCs w:val="24"/>
        </w:rPr>
      </w:pPr>
    </w:p>
    <w:p w:rsidR="00BF1018" w:rsidRDefault="00BF1018" w:rsidP="00DF52DA">
      <w:pPr>
        <w:pStyle w:val="ListParagraph"/>
        <w:ind w:left="1080"/>
        <w:rPr>
          <w:rFonts w:ascii="Times New Roman" w:hAnsi="Times New Roman" w:cs="Times New Roman"/>
          <w:b/>
          <w:sz w:val="24"/>
          <w:szCs w:val="24"/>
        </w:rPr>
      </w:pPr>
    </w:p>
    <w:p w:rsidR="00DF52DA" w:rsidRPr="00F6266D" w:rsidRDefault="00DF52DA" w:rsidP="00DF52DA">
      <w:pPr>
        <w:pStyle w:val="ListParagraph"/>
        <w:numPr>
          <w:ilvl w:val="0"/>
          <w:numId w:val="30"/>
        </w:numPr>
        <w:rPr>
          <w:rFonts w:cs="Times New Roman"/>
          <w:b/>
        </w:rPr>
      </w:pPr>
      <w:r>
        <w:t xml:space="preserve">PURPOSE </w:t>
      </w:r>
    </w:p>
    <w:p w:rsidR="00DF52DA" w:rsidRPr="00F6266D" w:rsidRDefault="00DF52DA" w:rsidP="00DF52DA">
      <w:pPr>
        <w:pStyle w:val="ListParagraph"/>
        <w:ind w:left="1080"/>
        <w:jc w:val="both"/>
        <w:rPr>
          <w:rFonts w:cs="Times New Roman"/>
        </w:rPr>
      </w:pPr>
      <w:r>
        <w:t>This procedure describes the process for designing, revising and distributing Package Insert for a medicinal product and intended to be circulated among medical professionals.</w:t>
      </w:r>
    </w:p>
    <w:p w:rsidR="00DF52DA" w:rsidRPr="00F6266D" w:rsidRDefault="00DF52DA" w:rsidP="00DF52DA">
      <w:pPr>
        <w:pStyle w:val="ListParagraph"/>
        <w:ind w:left="1080"/>
        <w:jc w:val="both"/>
        <w:rPr>
          <w:rFonts w:cs="Times New Roman"/>
        </w:rPr>
      </w:pPr>
    </w:p>
    <w:p w:rsidR="00DF52DA" w:rsidRPr="00F6266D" w:rsidRDefault="00DF52DA" w:rsidP="00DF52DA">
      <w:pPr>
        <w:pStyle w:val="ListParagraph"/>
        <w:numPr>
          <w:ilvl w:val="0"/>
          <w:numId w:val="30"/>
        </w:numPr>
        <w:jc w:val="both"/>
        <w:rPr>
          <w:rFonts w:cs="Times New Roman"/>
          <w:b/>
        </w:rPr>
      </w:pPr>
      <w:r>
        <w:t>SCOPE</w:t>
      </w:r>
    </w:p>
    <w:p w:rsidR="00DF52DA" w:rsidRPr="00F6266D" w:rsidRDefault="00DF52DA" w:rsidP="00DF52DA">
      <w:pPr>
        <w:pStyle w:val="ListParagraph"/>
        <w:ind w:left="1080"/>
        <w:jc w:val="both"/>
        <w:rPr>
          <w:rFonts w:cs="Times New Roman"/>
        </w:rPr>
      </w:pPr>
      <w:r>
        <w:t xml:space="preserve">This SOP is applicable to all the designated personnel responsible for designing of the Package Insert and for ensuring the timely update of relevant scientific data. </w:t>
      </w:r>
    </w:p>
    <w:p w:rsidR="00223D51" w:rsidRPr="00F6266D" w:rsidRDefault="00223D51" w:rsidP="00DF52DA">
      <w:pPr>
        <w:pStyle w:val="ListParagraph"/>
        <w:ind w:left="1080"/>
        <w:jc w:val="both"/>
        <w:rPr>
          <w:rFonts w:cs="Times New Roman"/>
        </w:rPr>
      </w:pPr>
    </w:p>
    <w:p w:rsidR="00223D51" w:rsidRPr="00F6266D" w:rsidRDefault="00223D51" w:rsidP="00223D51">
      <w:pPr>
        <w:pStyle w:val="ListParagraph"/>
        <w:numPr>
          <w:ilvl w:val="0"/>
          <w:numId w:val="30"/>
        </w:numPr>
        <w:rPr>
          <w:rFonts w:cs="Times New Roman"/>
          <w:b/>
        </w:rPr>
      </w:pPr>
      <w:r>
        <w:t>RESPONSIBILITY</w:t>
      </w:r>
    </w:p>
    <w:p w:rsidR="003451D7" w:rsidRPr="00F6266D" w:rsidRDefault="00223D51" w:rsidP="003451D7">
      <w:pPr>
        <w:numPr>
          <w:ilvl w:val="0"/>
          <w:numId w:val="31"/>
        </w:numPr>
        <w:spacing w:before="100" w:beforeAutospacing="1" w:after="100" w:afterAutospacing="1"/>
        <w:jc w:val="both"/>
        <w:rPr>
          <w:rFonts w:eastAsia="Times New Roman" w:cs="Times New Roman"/>
          <w:lang w:eastAsia="en-IN"/>
        </w:rPr>
      </w:pPr>
      <w:r>
        <w:t xml:space="preserve">The Author of the Package Insert is responsible for preparing the initial draft and discusses it with the Medical director for review, comments and final approval before dispatching it to the Commercial Department. </w:t>
      </w:r>
    </w:p>
    <w:p w:rsidR="00403675" w:rsidRPr="00F6266D" w:rsidRDefault="00403675" w:rsidP="00223D51">
      <w:pPr>
        <w:numPr>
          <w:ilvl w:val="0"/>
          <w:numId w:val="31"/>
        </w:numPr>
        <w:spacing w:before="100" w:beforeAutospacing="1" w:after="100" w:afterAutospacing="1"/>
        <w:jc w:val="both"/>
        <w:rPr>
          <w:rFonts w:eastAsia="Times New Roman" w:cs="Times New Roman"/>
          <w:lang w:eastAsia="en-IN"/>
        </w:rPr>
      </w:pPr>
      <w:r>
        <w:t>The author is responsible for timely revision and updating of the Package Insert.</w:t>
      </w:r>
    </w:p>
    <w:p w:rsidR="00560B73" w:rsidRPr="00F6266D" w:rsidRDefault="00560B73" w:rsidP="00560B73">
      <w:pPr>
        <w:pStyle w:val="ListParagraph"/>
        <w:numPr>
          <w:ilvl w:val="0"/>
          <w:numId w:val="30"/>
        </w:numPr>
        <w:rPr>
          <w:rFonts w:cs="Times New Roman"/>
          <w:b/>
        </w:rPr>
      </w:pPr>
      <w:r>
        <w:t>POLICY</w:t>
      </w:r>
    </w:p>
    <w:p w:rsidR="00560B73" w:rsidRPr="00F6266D" w:rsidRDefault="00560B73" w:rsidP="00560B73">
      <w:pPr>
        <w:pStyle w:val="ListParagraph"/>
        <w:ind w:left="1080"/>
        <w:jc w:val="both"/>
        <w:rPr>
          <w:rFonts w:cs="Times New Roman"/>
        </w:rPr>
      </w:pPr>
      <w:r>
        <w:t>The first copy of all SOPs will be maintained in a soft copy form with the original signatures in the custody of the Quality Assurance Department. Second copy will be made available in the controlled form for reference by employees. The forms, templates and checklists will have restricted access to employees.</w:t>
      </w:r>
    </w:p>
    <w:p w:rsidR="00560B73" w:rsidRPr="00F6266D" w:rsidRDefault="00560B73" w:rsidP="00560B73">
      <w:pPr>
        <w:pStyle w:val="ListParagraph"/>
        <w:ind w:left="1080"/>
        <w:jc w:val="both"/>
        <w:rPr>
          <w:rFonts w:cs="Times New Roman"/>
        </w:rPr>
      </w:pPr>
    </w:p>
    <w:p w:rsidR="00560B73" w:rsidRPr="00F6266D" w:rsidRDefault="00560B73" w:rsidP="00560B73">
      <w:pPr>
        <w:pStyle w:val="ListParagraph"/>
        <w:ind w:left="1080"/>
        <w:jc w:val="both"/>
        <w:rPr>
          <w:rFonts w:cs="Times New Roman"/>
        </w:rPr>
      </w:pPr>
    </w:p>
    <w:p w:rsidR="00DF52DA" w:rsidRPr="00F6266D" w:rsidRDefault="00560B73" w:rsidP="00560B73">
      <w:pPr>
        <w:pStyle w:val="ListParagraph"/>
        <w:numPr>
          <w:ilvl w:val="0"/>
          <w:numId w:val="30"/>
        </w:numPr>
        <w:rPr>
          <w:rFonts w:cs="Times New Roman"/>
          <w:b/>
        </w:rPr>
      </w:pPr>
      <w:r>
        <w:t>GENERAL PRINCIPLES</w:t>
      </w:r>
    </w:p>
    <w:p w:rsidR="00DD4435" w:rsidRPr="00F6266D" w:rsidRDefault="00845CBD" w:rsidP="00560B73">
      <w:pPr>
        <w:pStyle w:val="Heading1"/>
        <w:numPr>
          <w:ilvl w:val="0"/>
          <w:numId w:val="33"/>
        </w:numPr>
        <w:jc w:val="both"/>
        <w:rPr>
          <w:rFonts w:asciiTheme="minorHAnsi" w:hAnsiTheme="minorHAnsi"/>
          <w:color w:val="000000" w:themeColor="text1"/>
          <w:sz w:val="22"/>
          <w:szCs w:val="22"/>
        </w:rPr>
      </w:pPr>
      <w:r>
        <w:t>What Is a Package insert?</w:t>
      </w:r>
    </w:p>
    <w:p w:rsidR="00BB6F75" w:rsidRPr="00F6266D" w:rsidRDefault="00BB6F75" w:rsidP="007167F4">
      <w:pPr>
        <w:spacing w:line="360" w:lineRule="auto"/>
        <w:jc w:val="both"/>
        <w:rPr>
          <w:rFonts w:cstheme="minorHAnsi"/>
        </w:rPr>
      </w:pPr>
    </w:p>
    <w:p w:rsidR="00BB6F75" w:rsidRPr="00F6266D" w:rsidRDefault="00BB6F75" w:rsidP="00BB6F75">
      <w:pPr>
        <w:pStyle w:val="ListParagraph"/>
        <w:numPr>
          <w:ilvl w:val="0"/>
          <w:numId w:val="42"/>
        </w:numPr>
        <w:spacing w:line="360" w:lineRule="auto"/>
        <w:jc w:val="both"/>
        <w:rPr>
          <w:rFonts w:cstheme="minorHAnsi"/>
          <w:shd w:val="clear" w:color="auto" w:fill="FFFFFF"/>
        </w:rPr>
      </w:pPr>
      <w:r>
        <w:t>A Package Insert is a document provided along with the medicinal product to provide concise information about that particular product.</w:t>
      </w:r>
    </w:p>
    <w:p w:rsidR="007F21FA" w:rsidRPr="00F6266D" w:rsidRDefault="007F21FA" w:rsidP="00BB6F75">
      <w:pPr>
        <w:pStyle w:val="ListParagraph"/>
        <w:numPr>
          <w:ilvl w:val="0"/>
          <w:numId w:val="42"/>
        </w:numPr>
        <w:spacing w:line="360" w:lineRule="auto"/>
        <w:jc w:val="both"/>
        <w:rPr>
          <w:rFonts w:cstheme="minorHAnsi"/>
          <w:shd w:val="clear" w:color="auto" w:fill="FFFFFF"/>
        </w:rPr>
      </w:pPr>
      <w:r>
        <w:t xml:space="preserve">The purpose of the package insert is to provide essential and unbiased prescribing and safety information to health professionals. </w:t>
      </w:r>
    </w:p>
    <w:p w:rsidR="00E15F0A" w:rsidRPr="00F6266D" w:rsidRDefault="00E15F0A" w:rsidP="00E15F0A">
      <w:pPr>
        <w:pStyle w:val="Heading1"/>
        <w:numPr>
          <w:ilvl w:val="0"/>
          <w:numId w:val="33"/>
        </w:numPr>
        <w:jc w:val="both"/>
        <w:rPr>
          <w:rFonts w:asciiTheme="minorHAnsi" w:hAnsiTheme="minorHAnsi"/>
          <w:color w:val="000000" w:themeColor="text1"/>
          <w:sz w:val="22"/>
          <w:szCs w:val="22"/>
        </w:rPr>
      </w:pPr>
      <w:r>
        <w:t>General instructions</w:t>
      </w:r>
    </w:p>
    <w:p w:rsidR="000D242B" w:rsidRPr="00F6266D" w:rsidRDefault="007F21FA" w:rsidP="00E15F0A">
      <w:pPr>
        <w:spacing w:line="360" w:lineRule="auto"/>
        <w:ind w:left="720"/>
        <w:jc w:val="both"/>
        <w:rPr>
          <w:rFonts w:cstheme="minorHAnsi"/>
        </w:rPr>
      </w:pPr>
      <w:r>
        <w:t>A Package insert should be prepared with the following guiding principles as a basis for the information:</w:t>
      </w:r>
    </w:p>
    <w:p w:rsidR="000D242B" w:rsidRPr="00F6266D" w:rsidRDefault="000D242B" w:rsidP="00AF62F0">
      <w:pPr>
        <w:pStyle w:val="ListParagraph"/>
        <w:numPr>
          <w:ilvl w:val="0"/>
          <w:numId w:val="25"/>
        </w:numPr>
        <w:spacing w:line="360" w:lineRule="auto"/>
        <w:jc w:val="both"/>
        <w:rPr>
          <w:rFonts w:cstheme="minorHAnsi"/>
        </w:rPr>
      </w:pPr>
      <w:r>
        <w:t xml:space="preserve">Avoid duplication of information. </w:t>
      </w:r>
    </w:p>
    <w:p w:rsidR="00AF62F0" w:rsidRPr="00F6266D" w:rsidRDefault="000D242B" w:rsidP="00AF62F0">
      <w:pPr>
        <w:pStyle w:val="ListParagraph"/>
        <w:numPr>
          <w:ilvl w:val="0"/>
          <w:numId w:val="25"/>
        </w:numPr>
        <w:spacing w:line="360" w:lineRule="auto"/>
        <w:jc w:val="both"/>
        <w:rPr>
          <w:rFonts w:cstheme="minorHAnsi"/>
        </w:rPr>
      </w:pPr>
      <w:r>
        <w:t>Key information should be easy to locate.</w:t>
      </w:r>
    </w:p>
    <w:p w:rsidR="0076229D" w:rsidRPr="00F6266D" w:rsidRDefault="0076229D" w:rsidP="00AF62F0">
      <w:pPr>
        <w:pStyle w:val="ListParagraph"/>
        <w:numPr>
          <w:ilvl w:val="0"/>
          <w:numId w:val="25"/>
        </w:numPr>
        <w:spacing w:line="360" w:lineRule="auto"/>
        <w:jc w:val="both"/>
        <w:rPr>
          <w:rFonts w:cstheme="minorHAnsi"/>
        </w:rPr>
      </w:pPr>
      <w:r>
        <w:t>Should contain key data in tabulated form wherever it is possible.</w:t>
      </w:r>
    </w:p>
    <w:p w:rsidR="00AF62F0" w:rsidRPr="00F6266D" w:rsidRDefault="00AF62F0" w:rsidP="00AF62F0">
      <w:pPr>
        <w:pStyle w:val="ListParagraph"/>
        <w:numPr>
          <w:ilvl w:val="0"/>
          <w:numId w:val="25"/>
        </w:numPr>
        <w:spacing w:line="360" w:lineRule="auto"/>
        <w:jc w:val="both"/>
        <w:rPr>
          <w:rFonts w:cstheme="minorHAnsi"/>
        </w:rPr>
      </w:pPr>
      <w:r>
        <w:t xml:space="preserve">The information included in the Package Insert must be collated from authentic sources. </w:t>
      </w:r>
    </w:p>
    <w:p w:rsidR="000D242B" w:rsidRPr="00F6266D" w:rsidRDefault="000D242B" w:rsidP="00E15F0A">
      <w:pPr>
        <w:pStyle w:val="Heading1"/>
        <w:numPr>
          <w:ilvl w:val="0"/>
          <w:numId w:val="33"/>
        </w:numPr>
        <w:jc w:val="both"/>
        <w:rPr>
          <w:rFonts w:asciiTheme="minorHAnsi" w:hAnsiTheme="minorHAnsi"/>
          <w:color w:val="000000" w:themeColor="text1"/>
          <w:sz w:val="22"/>
          <w:szCs w:val="22"/>
        </w:rPr>
      </w:pPr>
      <w:r>
        <w:t>Revisions</w:t>
      </w:r>
    </w:p>
    <w:p w:rsidR="000D242B" w:rsidRPr="00F6266D" w:rsidRDefault="000D242B" w:rsidP="007167F4">
      <w:pPr>
        <w:pStyle w:val="ListParagraph"/>
        <w:numPr>
          <w:ilvl w:val="0"/>
          <w:numId w:val="26"/>
        </w:numPr>
        <w:spacing w:line="360" w:lineRule="auto"/>
        <w:jc w:val="both"/>
        <w:rPr>
          <w:rFonts w:cstheme="minorHAnsi"/>
          <w:color w:val="000000"/>
          <w:shd w:val="clear" w:color="auto" w:fill="FFFFFF"/>
        </w:rPr>
      </w:pPr>
      <w:r>
        <w:t xml:space="preserve">Revisions should be initiated by the sponsor/company whenever significant updating of the Package Insert is required in order to incorporate additions or other changes related to safety (particularly with respect to warnings, precautions, adverse reactions, and mode of administration) that may be necessary as a result of newly available information. </w:t>
      </w:r>
    </w:p>
    <w:p w:rsidR="000D242B" w:rsidRPr="00F6266D" w:rsidRDefault="00F34D20" w:rsidP="007167F4">
      <w:pPr>
        <w:pStyle w:val="ListParagraph"/>
        <w:numPr>
          <w:ilvl w:val="0"/>
          <w:numId w:val="26"/>
        </w:numPr>
        <w:spacing w:line="360" w:lineRule="auto"/>
        <w:jc w:val="both"/>
        <w:rPr>
          <w:rFonts w:cstheme="minorHAnsi"/>
          <w:color w:val="000000"/>
          <w:shd w:val="clear" w:color="auto" w:fill="FFFFFF"/>
        </w:rPr>
      </w:pPr>
      <w:r>
        <w:t xml:space="preserve">The Package Insert should also be revised whenever substantial information is available to support significant new indications or when other changes or deletions in the indications and conditions of use are required as a result of additional available information. </w:t>
      </w:r>
    </w:p>
    <w:p w:rsidR="000D242B" w:rsidRPr="00F6266D" w:rsidRDefault="007B51DB" w:rsidP="007B51DB">
      <w:pPr>
        <w:pStyle w:val="Heading1"/>
        <w:ind w:left="720"/>
        <w:jc w:val="both"/>
        <w:rPr>
          <w:rFonts w:asciiTheme="minorHAnsi" w:hAnsiTheme="minorHAnsi"/>
          <w:color w:val="000000" w:themeColor="text1"/>
          <w:sz w:val="22"/>
          <w:szCs w:val="22"/>
        </w:rPr>
      </w:pPr>
      <w:r>
        <w:t>C. Distribution</w:t>
      </w:r>
    </w:p>
    <w:p w:rsidR="0084209F" w:rsidRPr="00F6266D" w:rsidRDefault="0084209F" w:rsidP="007167F4">
      <w:pPr>
        <w:pStyle w:val="ListParagraph"/>
        <w:spacing w:line="360" w:lineRule="auto"/>
        <w:jc w:val="both"/>
        <w:rPr>
          <w:rFonts w:cstheme="minorHAnsi"/>
        </w:rPr>
      </w:pPr>
    </w:p>
    <w:p w:rsidR="003B46CF" w:rsidRPr="00F6266D" w:rsidRDefault="00940357" w:rsidP="00F34D20">
      <w:pPr>
        <w:spacing w:line="360" w:lineRule="auto"/>
        <w:ind w:left="1080"/>
        <w:jc w:val="both"/>
        <w:rPr>
          <w:rFonts w:cstheme="minorHAnsi"/>
        </w:rPr>
      </w:pPr>
      <w:r>
        <w:t>A copy of the package insert should be provided with every medicinal product to act as a source of relevant and concise information for health professionals.</w:t>
      </w:r>
    </w:p>
    <w:p w:rsidR="000D242B" w:rsidRPr="00F6266D" w:rsidRDefault="000D242B" w:rsidP="007167F4">
      <w:pPr>
        <w:pStyle w:val="ListParagraph"/>
        <w:spacing w:line="360" w:lineRule="auto"/>
        <w:jc w:val="both"/>
        <w:rPr>
          <w:rFonts w:cstheme="minorHAnsi"/>
        </w:rPr>
      </w:pPr>
    </w:p>
    <w:p w:rsidR="007B1715" w:rsidRPr="00F6266D" w:rsidRDefault="00C37ED6" w:rsidP="00F34D20">
      <w:pPr>
        <w:pStyle w:val="ListParagraph"/>
        <w:numPr>
          <w:ilvl w:val="0"/>
          <w:numId w:val="30"/>
        </w:numPr>
        <w:rPr>
          <w:rFonts w:cs="Times New Roman"/>
          <w:b/>
        </w:rPr>
      </w:pPr>
      <w:r>
        <w:t>PROCEDURES</w:t>
      </w:r>
    </w:p>
    <w:p w:rsidR="00C8218A" w:rsidRPr="00F6266D" w:rsidRDefault="00C8218A" w:rsidP="00C8218A">
      <w:pPr>
        <w:ind w:left="360"/>
        <w:rPr>
          <w:rFonts w:cs="Times New Roman"/>
          <w:b/>
        </w:rPr>
      </w:pPr>
      <w:r>
        <w:t>INFORMATION ON THE MEDICINAL PRODUCT</w:t>
      </w:r>
    </w:p>
    <w:p w:rsidR="00C8218A" w:rsidRPr="00F6266D" w:rsidRDefault="00C8218A" w:rsidP="00C8218A">
      <w:pPr>
        <w:pStyle w:val="Heading2"/>
        <w:numPr>
          <w:ilvl w:val="7"/>
          <w:numId w:val="5"/>
        </w:numPr>
        <w:ind w:left="851"/>
        <w:jc w:val="both"/>
        <w:rPr>
          <w:rFonts w:asciiTheme="minorHAnsi" w:hAnsiTheme="minorHAnsi"/>
          <w:color w:val="000000" w:themeColor="text1"/>
          <w:sz w:val="22"/>
          <w:szCs w:val="22"/>
        </w:rPr>
      </w:pPr>
      <w:r>
        <w:t>Pharmaceutical Information</w:t>
      </w:r>
    </w:p>
    <w:p w:rsidR="00C8218A" w:rsidRPr="00F6266D" w:rsidRDefault="00C8218A" w:rsidP="00C8218A">
      <w:pPr>
        <w:ind w:left="360"/>
        <w:jc w:val="both"/>
      </w:pPr>
      <w:r>
        <w:t>This sub-section should include information on the drug substance under the following headings:</w:t>
      </w:r>
    </w:p>
    <w:p w:rsidR="00C8218A" w:rsidRPr="00F6266D" w:rsidRDefault="00C8218A" w:rsidP="00C8218A">
      <w:pPr>
        <w:pStyle w:val="Heading3"/>
        <w:numPr>
          <w:ilvl w:val="0"/>
          <w:numId w:val="35"/>
        </w:numPr>
        <w:jc w:val="both"/>
        <w:rPr>
          <w:rFonts w:asciiTheme="minorHAnsi" w:hAnsiTheme="minorHAnsi" w:cstheme="minorHAnsi"/>
          <w:b w:val="0"/>
        </w:rPr>
      </w:pPr>
      <w:r>
        <w:t>Proper name or common name;</w:t>
      </w:r>
    </w:p>
    <w:p w:rsidR="00C8218A" w:rsidRPr="00F6266D" w:rsidRDefault="00C8218A" w:rsidP="00C8218A">
      <w:pPr>
        <w:pStyle w:val="Heading3"/>
        <w:numPr>
          <w:ilvl w:val="0"/>
          <w:numId w:val="35"/>
        </w:numPr>
        <w:jc w:val="both"/>
        <w:rPr>
          <w:rFonts w:asciiTheme="minorHAnsi" w:hAnsiTheme="minorHAnsi" w:cstheme="minorHAnsi"/>
          <w:b w:val="0"/>
        </w:rPr>
      </w:pPr>
      <w:r>
        <w:t>Chemical name;</w:t>
      </w:r>
    </w:p>
    <w:p w:rsidR="00C8218A" w:rsidRPr="00F6266D" w:rsidRDefault="00C8218A" w:rsidP="00C8218A">
      <w:pPr>
        <w:pStyle w:val="Heading3"/>
        <w:numPr>
          <w:ilvl w:val="0"/>
          <w:numId w:val="35"/>
        </w:numPr>
        <w:jc w:val="both"/>
        <w:rPr>
          <w:rFonts w:asciiTheme="minorHAnsi" w:hAnsiTheme="minorHAnsi" w:cstheme="minorHAnsi"/>
          <w:b w:val="0"/>
        </w:rPr>
      </w:pPr>
      <w:r>
        <w:t>Molecular formula and molecular mass;</w:t>
      </w:r>
    </w:p>
    <w:p w:rsidR="00C8218A" w:rsidRPr="00F6266D" w:rsidRDefault="00C8218A" w:rsidP="00C8218A">
      <w:pPr>
        <w:pStyle w:val="Heading3"/>
        <w:numPr>
          <w:ilvl w:val="0"/>
          <w:numId w:val="35"/>
        </w:numPr>
        <w:jc w:val="both"/>
        <w:rPr>
          <w:rFonts w:asciiTheme="minorHAnsi" w:hAnsiTheme="minorHAnsi" w:cstheme="minorHAnsi"/>
          <w:b w:val="0"/>
        </w:rPr>
      </w:pPr>
      <w:r>
        <w:t>Structural formula, including relative and absolute stereochemistry;</w:t>
      </w:r>
    </w:p>
    <w:p w:rsidR="00C8218A" w:rsidRPr="00F6266D" w:rsidRDefault="00C8218A" w:rsidP="00C8218A">
      <w:pPr>
        <w:pStyle w:val="Heading3"/>
        <w:numPr>
          <w:ilvl w:val="0"/>
          <w:numId w:val="35"/>
        </w:numPr>
        <w:jc w:val="both"/>
        <w:rPr>
          <w:rFonts w:asciiTheme="minorHAnsi" w:hAnsiTheme="minorHAnsi" w:cstheme="minorHAnsi"/>
          <w:b w:val="0"/>
        </w:rPr>
      </w:pPr>
      <w:r>
        <w:t>Relevant physicochemical properties, for e.g., physical description, solubility over the physiological pH range, polymorphic form</w:t>
      </w:r>
    </w:p>
    <w:p w:rsidR="00C8218A" w:rsidRPr="00F6266D" w:rsidRDefault="00C8218A" w:rsidP="00C8218A">
      <w:pPr>
        <w:pStyle w:val="Heading2"/>
        <w:numPr>
          <w:ilvl w:val="7"/>
          <w:numId w:val="5"/>
        </w:numPr>
        <w:ind w:left="851"/>
        <w:jc w:val="both"/>
        <w:rPr>
          <w:rFonts w:asciiTheme="minorHAnsi" w:hAnsiTheme="minorHAnsi"/>
          <w:color w:val="000000" w:themeColor="text1"/>
          <w:sz w:val="22"/>
          <w:szCs w:val="22"/>
        </w:rPr>
      </w:pPr>
      <w:r>
        <w:t xml:space="preserve"> Clinical Pharmacology</w:t>
      </w:r>
    </w:p>
    <w:p w:rsidR="00C8218A" w:rsidRPr="00F6266D" w:rsidRDefault="00C8218A" w:rsidP="00C8218A">
      <w:pPr>
        <w:jc w:val="both"/>
        <w:rPr>
          <w:rFonts w:cstheme="minorHAnsi"/>
          <w:color w:val="000000"/>
          <w:shd w:val="clear" w:color="auto" w:fill="FFFFFF"/>
        </w:rPr>
      </w:pPr>
      <w:r>
        <w:t>This section should include a concise synopsis of the salient features of the drug's mechanism/s of action, pharmacodynamics and pharmacokinetics. The information should have a demonstrated relevance to the pharmacology or pharmacodynamics of the drug in humans.</w:t>
      </w:r>
    </w:p>
    <w:p w:rsidR="00C8218A" w:rsidRPr="00F6266D" w:rsidRDefault="00C8218A" w:rsidP="00C8218A">
      <w:pPr>
        <w:pStyle w:val="Heading3"/>
        <w:numPr>
          <w:ilvl w:val="0"/>
          <w:numId w:val="36"/>
        </w:numPr>
        <w:ind w:left="1080"/>
        <w:jc w:val="both"/>
        <w:rPr>
          <w:rFonts w:asciiTheme="minorHAnsi" w:hAnsiTheme="minorHAnsi"/>
        </w:rPr>
      </w:pPr>
      <w:r>
        <w:t>Mechanism of Action</w:t>
      </w:r>
    </w:p>
    <w:p w:rsidR="00C8218A" w:rsidRPr="00F6266D" w:rsidRDefault="00C8218A" w:rsidP="00C8218A">
      <w:pPr>
        <w:ind w:left="1080"/>
        <w:jc w:val="both"/>
        <w:rPr>
          <w:rFonts w:cstheme="minorHAnsi"/>
        </w:rPr>
      </w:pPr>
      <w:r>
        <w:t>A brief description of the mechanism by which the drug achieves its pharmacological effect should be outlined here.</w:t>
      </w:r>
    </w:p>
    <w:p w:rsidR="00C8218A" w:rsidRPr="00F6266D" w:rsidRDefault="00C8218A" w:rsidP="00C8218A">
      <w:pPr>
        <w:pStyle w:val="Heading3"/>
        <w:numPr>
          <w:ilvl w:val="0"/>
          <w:numId w:val="36"/>
        </w:numPr>
        <w:ind w:left="1080"/>
        <w:jc w:val="both"/>
        <w:rPr>
          <w:rFonts w:asciiTheme="minorHAnsi" w:hAnsiTheme="minorHAnsi"/>
        </w:rPr>
      </w:pPr>
      <w:r>
        <w:t>Pharmacodynamics</w:t>
      </w:r>
    </w:p>
    <w:p w:rsidR="00C8218A" w:rsidRPr="00F6266D" w:rsidRDefault="00C8218A" w:rsidP="00C8218A">
      <w:pPr>
        <w:ind w:left="1080"/>
        <w:jc w:val="both"/>
        <w:rPr>
          <w:rFonts w:cstheme="minorHAnsi"/>
        </w:rPr>
      </w:pPr>
      <w:r>
        <w:t>This section should include a brief description of factors that may affect pharmacodynamic response (clinical effectiveness, safety, and dose-response).</w:t>
      </w:r>
    </w:p>
    <w:p w:rsidR="00C8218A" w:rsidRPr="00F6266D" w:rsidRDefault="00C8218A" w:rsidP="00C8218A">
      <w:pPr>
        <w:pStyle w:val="Heading3"/>
        <w:numPr>
          <w:ilvl w:val="0"/>
          <w:numId w:val="36"/>
        </w:numPr>
        <w:ind w:left="1080"/>
        <w:jc w:val="both"/>
        <w:rPr>
          <w:rFonts w:asciiTheme="minorHAnsi" w:hAnsiTheme="minorHAnsi"/>
        </w:rPr>
      </w:pPr>
      <w:r>
        <w:t>Microbiology</w:t>
      </w:r>
    </w:p>
    <w:p w:rsidR="00C8218A" w:rsidRPr="00F6266D" w:rsidRDefault="00C8218A" w:rsidP="00C8218A">
      <w:pPr>
        <w:ind w:left="1080"/>
        <w:jc w:val="both"/>
        <w:rPr>
          <w:rFonts w:cstheme="minorHAnsi"/>
        </w:rPr>
      </w:pPr>
      <w:r>
        <w:t>This section is needed for all antimicrobial drugs. It should comprise of laboratory studies and be divided, where appropriate, into in vitro and in vivo sub-sections. Details regarding susceptibility testing, reference pathogens studied should be included. Information on drug resistance and cross-resistance should be included.</w:t>
      </w:r>
    </w:p>
    <w:p w:rsidR="00C8218A" w:rsidRPr="00F6266D" w:rsidRDefault="00C8218A" w:rsidP="00C8218A">
      <w:pPr>
        <w:pStyle w:val="Heading3"/>
        <w:numPr>
          <w:ilvl w:val="0"/>
          <w:numId w:val="36"/>
        </w:numPr>
        <w:ind w:left="1080"/>
        <w:jc w:val="both"/>
        <w:rPr>
          <w:rFonts w:asciiTheme="minorHAnsi" w:hAnsiTheme="minorHAnsi"/>
        </w:rPr>
      </w:pPr>
      <w:r>
        <w:t>Pharmacokinetics</w:t>
      </w:r>
    </w:p>
    <w:p w:rsidR="00C8218A" w:rsidRPr="00F6266D" w:rsidRDefault="00C8218A" w:rsidP="00C8218A">
      <w:pPr>
        <w:ind w:left="1080"/>
        <w:jc w:val="both"/>
        <w:rPr>
          <w:rFonts w:cstheme="minorHAnsi"/>
        </w:rPr>
      </w:pPr>
      <w:r>
        <w:t>A summary table of the most clinically significant pharmacokinetic features should be presented in a table. This section should also include a short explanation of the clinical significance of the basic pharmacokinetic data for the general population, under the following headings:</w:t>
      </w:r>
    </w:p>
    <w:p w:rsidR="00C8218A" w:rsidRPr="00F6266D" w:rsidRDefault="00C8218A" w:rsidP="00C8218A">
      <w:pPr>
        <w:pStyle w:val="ListParagraph"/>
        <w:numPr>
          <w:ilvl w:val="0"/>
          <w:numId w:val="13"/>
        </w:numPr>
        <w:spacing w:after="0" w:line="240" w:lineRule="auto"/>
        <w:jc w:val="both"/>
        <w:rPr>
          <w:rFonts w:eastAsia="Times New Roman" w:cstheme="minorHAnsi"/>
          <w:b/>
          <w:bCs/>
          <w:color w:val="000000"/>
        </w:rPr>
      </w:pPr>
      <w:r>
        <w:t>Absorption</w:t>
      </w:r>
    </w:p>
    <w:p w:rsidR="00C8218A" w:rsidRPr="00F6266D" w:rsidRDefault="00C8218A" w:rsidP="00C8218A">
      <w:pPr>
        <w:pStyle w:val="ListParagraph"/>
        <w:spacing w:after="0"/>
        <w:ind w:left="2160"/>
        <w:jc w:val="both"/>
        <w:rPr>
          <w:rFonts w:eastAsia="Times New Roman" w:cstheme="minorHAnsi"/>
          <w:color w:val="000000"/>
        </w:rPr>
      </w:pPr>
      <w:r>
        <w:t>Information regarding the drug's properties, such as area under the curve (AUC), Tmax, Cmax, time of onset of action, effect of food on absorption and time to steady state.</w:t>
      </w:r>
    </w:p>
    <w:p w:rsidR="00C8218A" w:rsidRPr="00F6266D" w:rsidRDefault="00C8218A" w:rsidP="00C8218A">
      <w:pPr>
        <w:pStyle w:val="ListParagraph"/>
        <w:numPr>
          <w:ilvl w:val="0"/>
          <w:numId w:val="13"/>
        </w:numPr>
        <w:spacing w:after="0" w:line="240" w:lineRule="auto"/>
        <w:jc w:val="both"/>
        <w:rPr>
          <w:rFonts w:eastAsia="Times New Roman" w:cstheme="minorHAnsi"/>
          <w:b/>
          <w:bCs/>
          <w:color w:val="000000"/>
        </w:rPr>
      </w:pPr>
      <w:r>
        <w:t>Distribution</w:t>
      </w:r>
    </w:p>
    <w:p w:rsidR="00C8218A" w:rsidRPr="00F6266D" w:rsidRDefault="00C8218A" w:rsidP="00C8218A">
      <w:pPr>
        <w:pStyle w:val="ListParagraph"/>
        <w:spacing w:after="0"/>
        <w:ind w:left="2160"/>
        <w:jc w:val="both"/>
        <w:rPr>
          <w:rFonts w:eastAsia="Times New Roman" w:cstheme="minorHAnsi"/>
          <w:color w:val="000000"/>
        </w:rPr>
      </w:pPr>
      <w:r>
        <w:t>Degree of protein binding, volume of distribution (Vd), sites of distribution, including whether the drug crosses the blood-brain barrier and placental barrier.</w:t>
      </w:r>
    </w:p>
    <w:p w:rsidR="00C8218A" w:rsidRPr="00F6266D" w:rsidRDefault="00C8218A" w:rsidP="00C8218A">
      <w:pPr>
        <w:pStyle w:val="ListParagraph"/>
        <w:numPr>
          <w:ilvl w:val="0"/>
          <w:numId w:val="13"/>
        </w:numPr>
        <w:spacing w:after="0" w:line="240" w:lineRule="auto"/>
        <w:jc w:val="both"/>
        <w:rPr>
          <w:rFonts w:eastAsia="Times New Roman" w:cstheme="minorHAnsi"/>
          <w:b/>
          <w:bCs/>
          <w:color w:val="000000"/>
        </w:rPr>
      </w:pPr>
      <w:r>
        <w:t>Metabolism</w:t>
      </w:r>
    </w:p>
    <w:p w:rsidR="00C8218A" w:rsidRPr="00F6266D" w:rsidRDefault="00C8218A" w:rsidP="00C8218A">
      <w:pPr>
        <w:pStyle w:val="ListParagraph"/>
        <w:spacing w:after="0"/>
        <w:ind w:left="2160"/>
        <w:jc w:val="both"/>
        <w:rPr>
          <w:rFonts w:eastAsia="Times New Roman" w:cstheme="minorHAnsi"/>
          <w:color w:val="000000"/>
        </w:rPr>
      </w:pPr>
      <w:r>
        <w:t>Sites and pathway of metabolism (e.g. CYP450), extent of first-pass metabolism, biological/pharmacological activity of metabolites, and dose dependent changes in metabolism</w:t>
      </w:r>
    </w:p>
    <w:p w:rsidR="00C8218A" w:rsidRPr="00F6266D" w:rsidRDefault="00C8218A" w:rsidP="00C8218A">
      <w:pPr>
        <w:pStyle w:val="ListParagraph"/>
        <w:numPr>
          <w:ilvl w:val="0"/>
          <w:numId w:val="13"/>
        </w:numPr>
        <w:spacing w:after="0" w:line="240" w:lineRule="auto"/>
        <w:jc w:val="both"/>
        <w:rPr>
          <w:rFonts w:eastAsia="Times New Roman" w:cstheme="minorHAnsi"/>
          <w:b/>
          <w:bCs/>
          <w:color w:val="000000"/>
        </w:rPr>
      </w:pPr>
      <w:r>
        <w:t>Excretion</w:t>
      </w:r>
    </w:p>
    <w:p w:rsidR="00C8218A" w:rsidRPr="00F6266D" w:rsidRDefault="00C8218A" w:rsidP="00C8218A">
      <w:pPr>
        <w:pStyle w:val="ListParagraph"/>
        <w:spacing w:after="0"/>
        <w:ind w:left="2160"/>
        <w:jc w:val="both"/>
        <w:rPr>
          <w:rFonts w:eastAsia="Times New Roman" w:cstheme="minorHAnsi"/>
          <w:b/>
          <w:bCs/>
          <w:color w:val="000000"/>
        </w:rPr>
      </w:pPr>
      <w:r>
        <w:t>Route(s) of excretion and the percentage via each route, elimination half-life (t½), and clearance</w:t>
      </w:r>
    </w:p>
    <w:p w:rsidR="00C8218A" w:rsidRPr="00F6266D" w:rsidRDefault="00C8218A" w:rsidP="00C8218A">
      <w:pPr>
        <w:pStyle w:val="ListParagraph"/>
        <w:numPr>
          <w:ilvl w:val="0"/>
          <w:numId w:val="13"/>
        </w:numPr>
        <w:spacing w:after="0" w:line="240" w:lineRule="auto"/>
        <w:jc w:val="both"/>
        <w:rPr>
          <w:rFonts w:eastAsia="Times New Roman" w:cstheme="minorHAnsi"/>
          <w:b/>
          <w:bCs/>
          <w:color w:val="000000"/>
        </w:rPr>
      </w:pPr>
      <w:r>
        <w:t>Special Populations/Conditions</w:t>
      </w:r>
    </w:p>
    <w:p w:rsidR="00F6266D" w:rsidRDefault="00C8218A" w:rsidP="00F6266D">
      <w:pPr>
        <w:pStyle w:val="ListParagraph"/>
        <w:spacing w:after="0"/>
        <w:ind w:left="2160"/>
        <w:jc w:val="both"/>
        <w:rPr>
          <w:rFonts w:eastAsia="Times New Roman" w:cstheme="minorHAnsi"/>
          <w:color w:val="000000"/>
        </w:rPr>
      </w:pPr>
      <w:r>
        <w:t>This section should include pharmacokinetic information that is relevant to special populations (e.g., pediatrics, geriatrics, gender, genetic polymorphism, and race) and certain conditions (e.g., hepatic insufficiency, renal insufficiency).</w:t>
      </w:r>
    </w:p>
    <w:p w:rsidR="00F6266D" w:rsidRDefault="00F6266D" w:rsidP="00F6266D">
      <w:pPr>
        <w:pStyle w:val="ListParagraph"/>
        <w:spacing w:after="0"/>
        <w:ind w:left="2160"/>
        <w:jc w:val="both"/>
        <w:rPr>
          <w:rFonts w:eastAsia="Times New Roman" w:cstheme="minorHAnsi"/>
          <w:color w:val="000000"/>
        </w:rPr>
      </w:pPr>
    </w:p>
    <w:p w:rsidR="00F6266D" w:rsidRPr="00F6266D" w:rsidRDefault="00C8218A" w:rsidP="00F6266D">
      <w:pPr>
        <w:pStyle w:val="Heading2"/>
        <w:numPr>
          <w:ilvl w:val="7"/>
          <w:numId w:val="5"/>
        </w:numPr>
        <w:ind w:left="851"/>
        <w:jc w:val="both"/>
        <w:rPr>
          <w:rFonts w:asciiTheme="minorHAnsi" w:hAnsiTheme="minorHAnsi"/>
          <w:color w:val="000000" w:themeColor="text1"/>
          <w:sz w:val="22"/>
          <w:szCs w:val="22"/>
        </w:rPr>
      </w:pPr>
      <w:r>
        <w:t>Indications and Clinical Use</w:t>
      </w:r>
    </w:p>
    <w:p w:rsidR="00C8218A" w:rsidRPr="00F6266D" w:rsidRDefault="00C8218A" w:rsidP="00F6266D">
      <w:pPr>
        <w:pStyle w:val="Heading3"/>
        <w:numPr>
          <w:ilvl w:val="0"/>
          <w:numId w:val="38"/>
        </w:numPr>
        <w:jc w:val="both"/>
        <w:rPr>
          <w:rFonts w:asciiTheme="minorHAnsi" w:hAnsiTheme="minorHAnsi" w:cstheme="minorHAnsi"/>
          <w:b w:val="0"/>
        </w:rPr>
      </w:pPr>
      <w:r>
        <w:t xml:space="preserve">This section should contain a point-form listing of the indications, followed by a brief discussion of any relevant clinical information. </w:t>
      </w:r>
    </w:p>
    <w:p w:rsidR="00C8218A" w:rsidRPr="00F6266D" w:rsidRDefault="00C8218A" w:rsidP="00C8218A">
      <w:pPr>
        <w:pStyle w:val="Heading3"/>
        <w:numPr>
          <w:ilvl w:val="0"/>
          <w:numId w:val="38"/>
        </w:numPr>
        <w:jc w:val="both"/>
        <w:rPr>
          <w:rFonts w:asciiTheme="minorHAnsi" w:hAnsiTheme="minorHAnsi" w:cstheme="minorHAnsi"/>
          <w:b w:val="0"/>
        </w:rPr>
      </w:pPr>
      <w:r>
        <w:t>The indications to be described in this section should be approved by DCGI or USFDA or EU.</w:t>
      </w:r>
    </w:p>
    <w:p w:rsidR="00C8218A" w:rsidRPr="00F6266D" w:rsidRDefault="00C8218A" w:rsidP="00C8218A">
      <w:pPr>
        <w:pStyle w:val="Heading3"/>
        <w:numPr>
          <w:ilvl w:val="0"/>
          <w:numId w:val="38"/>
        </w:numPr>
        <w:spacing w:line="240" w:lineRule="auto"/>
        <w:jc w:val="both"/>
        <w:rPr>
          <w:rFonts w:asciiTheme="minorHAnsi" w:hAnsiTheme="minorHAnsi"/>
          <w:color w:val="000000"/>
        </w:rPr>
      </w:pPr>
      <w:r>
        <w:t xml:space="preserve">Geriatrics </w:t>
      </w:r>
    </w:p>
    <w:p w:rsidR="00C8218A" w:rsidRPr="00F6266D" w:rsidRDefault="00C8218A" w:rsidP="00C8218A">
      <w:pPr>
        <w:pStyle w:val="Heading3"/>
        <w:numPr>
          <w:ilvl w:val="1"/>
          <w:numId w:val="38"/>
        </w:numPr>
        <w:spacing w:line="240" w:lineRule="auto"/>
        <w:jc w:val="both"/>
        <w:rPr>
          <w:rFonts w:asciiTheme="minorHAnsi" w:hAnsiTheme="minorHAnsi" w:cstheme="minorHAnsi"/>
          <w:b w:val="0"/>
          <w:color w:val="000000"/>
        </w:rPr>
      </w:pPr>
      <w:r>
        <w:t xml:space="preserve">For indications approved for adults in general, a statement regarding use in the geriatric population should be included. </w:t>
      </w:r>
    </w:p>
    <w:p w:rsidR="00C8218A" w:rsidRPr="00F6266D" w:rsidRDefault="00C8218A" w:rsidP="00C8218A">
      <w:pPr>
        <w:pStyle w:val="Heading3"/>
        <w:numPr>
          <w:ilvl w:val="0"/>
          <w:numId w:val="38"/>
        </w:numPr>
        <w:spacing w:line="240" w:lineRule="auto"/>
        <w:jc w:val="both"/>
        <w:rPr>
          <w:rFonts w:asciiTheme="minorHAnsi" w:hAnsiTheme="minorHAnsi"/>
        </w:rPr>
      </w:pPr>
      <w:r>
        <w:t>Pediatrics</w:t>
      </w:r>
    </w:p>
    <w:p w:rsidR="00C8218A" w:rsidRPr="00F6266D" w:rsidRDefault="00C8218A" w:rsidP="00C8218A">
      <w:pPr>
        <w:pStyle w:val="Heading3"/>
        <w:numPr>
          <w:ilvl w:val="1"/>
          <w:numId w:val="38"/>
        </w:numPr>
        <w:spacing w:line="240" w:lineRule="auto"/>
        <w:jc w:val="both"/>
        <w:rPr>
          <w:rFonts w:asciiTheme="minorHAnsi" w:hAnsiTheme="minorHAnsi" w:cstheme="minorHAnsi"/>
          <w:color w:val="000000"/>
        </w:rPr>
      </w:pPr>
      <w:r>
        <w:t xml:space="preserve">For indications approved for adults in general, a statement regarding use in the pediatric population should be included. </w:t>
      </w:r>
    </w:p>
    <w:p w:rsidR="00C8218A" w:rsidRPr="00F6266D" w:rsidRDefault="00C8218A" w:rsidP="00C8218A">
      <w:pPr>
        <w:pStyle w:val="Heading3"/>
        <w:numPr>
          <w:ilvl w:val="0"/>
          <w:numId w:val="38"/>
        </w:numPr>
        <w:jc w:val="both"/>
        <w:rPr>
          <w:rFonts w:asciiTheme="minorHAnsi" w:hAnsiTheme="minorHAnsi" w:cstheme="minorHAnsi"/>
          <w:b w:val="0"/>
        </w:rPr>
      </w:pPr>
      <w:r>
        <w:t>Where applicable, a statement should be included to indicate that the product is intended for use as an adjunct to other forms of treatment of the condition.</w:t>
      </w:r>
    </w:p>
    <w:p w:rsidR="00C8218A" w:rsidRPr="00F6266D" w:rsidRDefault="00C8218A" w:rsidP="00C8218A">
      <w:pPr>
        <w:pStyle w:val="Heading3"/>
        <w:numPr>
          <w:ilvl w:val="0"/>
          <w:numId w:val="38"/>
        </w:numPr>
        <w:jc w:val="both"/>
        <w:rPr>
          <w:rFonts w:asciiTheme="minorHAnsi" w:hAnsiTheme="minorHAnsi" w:cstheme="minorHAnsi"/>
          <w:b w:val="0"/>
          <w:shd w:val="clear" w:color="auto" w:fill="FFFFFF"/>
        </w:rPr>
      </w:pPr>
      <w:r>
        <w:t>For products requiring administration by a specialized health professional or in a restricted setting, an explanation of the restrictions should be provided.</w:t>
      </w:r>
    </w:p>
    <w:p w:rsidR="00C8218A" w:rsidRPr="00F6266D" w:rsidRDefault="00C8218A" w:rsidP="00C8218A">
      <w:pPr>
        <w:pStyle w:val="Heading3"/>
        <w:numPr>
          <w:ilvl w:val="0"/>
          <w:numId w:val="38"/>
        </w:numPr>
        <w:jc w:val="both"/>
        <w:rPr>
          <w:rFonts w:asciiTheme="minorHAnsi" w:hAnsiTheme="minorHAnsi" w:cstheme="minorHAnsi"/>
          <w:b w:val="0"/>
          <w:shd w:val="clear" w:color="auto" w:fill="FFFFFF"/>
        </w:rPr>
      </w:pPr>
      <w:r>
        <w:t xml:space="preserve">The clinical usage to be described in this section should be based on substantial evidence of the product's efficacy and safety, derived from adequately designed and well-controlled clinical studies. </w:t>
      </w:r>
    </w:p>
    <w:p w:rsidR="00C8218A" w:rsidRPr="00F6266D" w:rsidRDefault="00C8218A" w:rsidP="00C8218A">
      <w:pPr>
        <w:pStyle w:val="Heading2"/>
        <w:numPr>
          <w:ilvl w:val="7"/>
          <w:numId w:val="5"/>
        </w:numPr>
        <w:ind w:left="851"/>
        <w:jc w:val="both"/>
        <w:rPr>
          <w:rFonts w:asciiTheme="minorHAnsi" w:hAnsiTheme="minorHAnsi"/>
          <w:color w:val="000000" w:themeColor="text1"/>
          <w:sz w:val="22"/>
          <w:szCs w:val="22"/>
        </w:rPr>
      </w:pPr>
      <w:r>
        <w:t>Contraindications</w:t>
      </w:r>
    </w:p>
    <w:p w:rsidR="00C8218A" w:rsidRPr="00F6266D" w:rsidRDefault="00C8218A" w:rsidP="00C8218A">
      <w:pPr>
        <w:pStyle w:val="ListParagraph"/>
        <w:numPr>
          <w:ilvl w:val="0"/>
          <w:numId w:val="14"/>
        </w:numPr>
        <w:jc w:val="both"/>
      </w:pPr>
      <w:r>
        <w:t>This section should describe situations in which the drug should not be used because the risk outweighs any potential therapeutic benefit.</w:t>
      </w:r>
    </w:p>
    <w:p w:rsidR="00C8218A" w:rsidRPr="00F6266D" w:rsidRDefault="00C8218A" w:rsidP="00C8218A">
      <w:pPr>
        <w:pStyle w:val="ListParagraph"/>
        <w:numPr>
          <w:ilvl w:val="0"/>
          <w:numId w:val="14"/>
        </w:numPr>
        <w:jc w:val="both"/>
      </w:pPr>
      <w:r>
        <w:t xml:space="preserve">For hypersensitivity reactions, the statement used should be: Patients who are hypersensitive to this drug or to any ingredient/excipients in the formulation. </w:t>
      </w:r>
    </w:p>
    <w:p w:rsidR="00C8218A" w:rsidRPr="00F6266D" w:rsidRDefault="00C8218A" w:rsidP="00C8218A">
      <w:pPr>
        <w:pStyle w:val="ListParagraph"/>
        <w:jc w:val="both"/>
      </w:pPr>
    </w:p>
    <w:p w:rsidR="00C8218A" w:rsidRPr="00F6266D" w:rsidRDefault="00C8218A" w:rsidP="00C8218A">
      <w:pPr>
        <w:pStyle w:val="Heading2"/>
        <w:numPr>
          <w:ilvl w:val="7"/>
          <w:numId w:val="5"/>
        </w:numPr>
        <w:ind w:left="851"/>
        <w:jc w:val="both"/>
        <w:rPr>
          <w:rFonts w:asciiTheme="minorHAnsi" w:hAnsiTheme="minorHAnsi"/>
          <w:color w:val="000000" w:themeColor="text1"/>
          <w:sz w:val="22"/>
          <w:szCs w:val="22"/>
        </w:rPr>
      </w:pPr>
      <w:r>
        <w:t>Dosage and Administration</w:t>
      </w:r>
    </w:p>
    <w:p w:rsidR="00C8218A" w:rsidRPr="00F6266D" w:rsidRDefault="00C8218A" w:rsidP="00C8218A">
      <w:pPr>
        <w:pStyle w:val="Heading3"/>
        <w:numPr>
          <w:ilvl w:val="0"/>
          <w:numId w:val="37"/>
        </w:numPr>
        <w:jc w:val="both"/>
        <w:rPr>
          <w:rFonts w:asciiTheme="minorHAnsi" w:hAnsiTheme="minorHAnsi"/>
        </w:rPr>
      </w:pPr>
      <w:r>
        <w:t>Dosing Considerations</w:t>
      </w:r>
    </w:p>
    <w:p w:rsidR="00C8218A" w:rsidRPr="00F6266D" w:rsidRDefault="00C8218A" w:rsidP="00C8218A">
      <w:pPr>
        <w:pStyle w:val="ListParagraph"/>
        <w:ind w:left="1080"/>
        <w:jc w:val="both"/>
      </w:pPr>
      <w:r>
        <w:t xml:space="preserve">This section should briefly list the safety issues to consider when administering a dosage regimen in an individual patient (e.g., renal/hepatic disease, age, concomitant therapy, genetic polymorphism, and titration). </w:t>
      </w:r>
    </w:p>
    <w:p w:rsidR="00C8218A" w:rsidRPr="00F6266D" w:rsidRDefault="00C8218A" w:rsidP="00C8218A">
      <w:pPr>
        <w:pStyle w:val="ListParagraph"/>
        <w:ind w:left="1080"/>
        <w:jc w:val="both"/>
      </w:pPr>
      <w:r>
        <w:t>Where different dosage forms are available, if the dosages are not equivalent the conversion value should be stated.</w:t>
      </w:r>
    </w:p>
    <w:p w:rsidR="00C8218A" w:rsidRPr="00F6266D" w:rsidRDefault="00C8218A" w:rsidP="00C8218A">
      <w:pPr>
        <w:pStyle w:val="ListParagraph"/>
        <w:ind w:left="1440"/>
        <w:jc w:val="both"/>
      </w:pPr>
    </w:p>
    <w:p w:rsidR="00C8218A" w:rsidRPr="00F6266D" w:rsidRDefault="00C8218A" w:rsidP="00C8218A">
      <w:pPr>
        <w:pStyle w:val="Heading3"/>
        <w:numPr>
          <w:ilvl w:val="0"/>
          <w:numId w:val="37"/>
        </w:numPr>
        <w:jc w:val="both"/>
        <w:rPr>
          <w:rFonts w:asciiTheme="minorHAnsi" w:hAnsiTheme="minorHAnsi"/>
        </w:rPr>
      </w:pPr>
      <w:r>
        <w:t>Recommended Dose and Dosage Adjustment</w:t>
      </w:r>
    </w:p>
    <w:p w:rsidR="00C8218A" w:rsidRPr="00F6266D" w:rsidRDefault="00C8218A" w:rsidP="00C8218A">
      <w:pPr>
        <w:pStyle w:val="ListParagraph"/>
        <w:ind w:left="1080"/>
        <w:jc w:val="both"/>
      </w:pPr>
      <w:r>
        <w:t xml:space="preserve">This section should provide detailed and practical information on the recommended dosage. </w:t>
      </w:r>
    </w:p>
    <w:p w:rsidR="00C8218A" w:rsidRPr="00F6266D" w:rsidRDefault="00C8218A" w:rsidP="00521C63">
      <w:pPr>
        <w:pStyle w:val="Heading3"/>
        <w:numPr>
          <w:ilvl w:val="0"/>
          <w:numId w:val="47"/>
        </w:numPr>
        <w:jc w:val="both"/>
        <w:rPr>
          <w:rFonts w:asciiTheme="minorHAnsi" w:hAnsiTheme="minorHAnsi"/>
          <w:b w:val="0"/>
        </w:rPr>
      </w:pPr>
      <w:r>
        <w:t>The section should include: dosage schedules, the initial dose, the optimal method of titrating dosage, the dosage range, maximum daily dose, maintenance dosage, duration of treatment and drug discontinuation schedule.</w:t>
      </w:r>
    </w:p>
    <w:p w:rsidR="00C8218A" w:rsidRPr="00F6266D" w:rsidRDefault="00C8218A" w:rsidP="00521C63">
      <w:pPr>
        <w:pStyle w:val="Heading3"/>
        <w:numPr>
          <w:ilvl w:val="0"/>
          <w:numId w:val="47"/>
        </w:numPr>
        <w:jc w:val="both"/>
        <w:rPr>
          <w:rFonts w:asciiTheme="minorHAnsi" w:hAnsiTheme="minorHAnsi"/>
          <w:b w:val="0"/>
        </w:rPr>
      </w:pPr>
      <w:r>
        <w:t>When applicable, dosages should be provided for each indication, route of administration and dosage form.</w:t>
      </w:r>
    </w:p>
    <w:p w:rsidR="00C8218A" w:rsidRPr="00F6266D" w:rsidRDefault="00C8218A" w:rsidP="00521C63">
      <w:pPr>
        <w:pStyle w:val="Heading3"/>
        <w:numPr>
          <w:ilvl w:val="0"/>
          <w:numId w:val="47"/>
        </w:numPr>
        <w:jc w:val="both"/>
        <w:rPr>
          <w:rFonts w:asciiTheme="minorHAnsi" w:hAnsiTheme="minorHAnsi"/>
          <w:b w:val="0"/>
        </w:rPr>
      </w:pPr>
      <w:r>
        <w:t xml:space="preserve">Guidance should be given on the dosage adjustments necessary when administering the drug in special populations (e.g., children, elderly) or in the presence of co-morbidities (e.g., renal disease, hepatic disease, genetic polymorphism). </w:t>
      </w:r>
    </w:p>
    <w:p w:rsidR="00C8218A" w:rsidRPr="00F6266D" w:rsidRDefault="00C8218A" w:rsidP="00521C63">
      <w:pPr>
        <w:pStyle w:val="Heading3"/>
        <w:numPr>
          <w:ilvl w:val="0"/>
          <w:numId w:val="47"/>
        </w:numPr>
        <w:jc w:val="both"/>
        <w:rPr>
          <w:rFonts w:asciiTheme="minorHAnsi" w:hAnsiTheme="minorHAnsi"/>
          <w:b w:val="0"/>
        </w:rPr>
      </w:pPr>
      <w:r>
        <w:t>When an age descriptor is used (e.g., children), the age range should be specified.</w:t>
      </w:r>
    </w:p>
    <w:p w:rsidR="00C8218A" w:rsidRPr="00F6266D" w:rsidRDefault="00C8218A" w:rsidP="00521C63">
      <w:pPr>
        <w:pStyle w:val="Heading3"/>
        <w:numPr>
          <w:ilvl w:val="0"/>
          <w:numId w:val="47"/>
        </w:numPr>
        <w:jc w:val="both"/>
        <w:rPr>
          <w:rFonts w:asciiTheme="minorHAnsi" w:hAnsiTheme="minorHAnsi"/>
          <w:b w:val="0"/>
        </w:rPr>
      </w:pPr>
      <w:r>
        <w:t>If no dosage adjustments are required a statement to that effect should be included (e.g., No dosage adjustment required in hepatic or renal impairment).</w:t>
      </w:r>
    </w:p>
    <w:p w:rsidR="00C8218A" w:rsidRPr="00F6266D" w:rsidRDefault="00C8218A" w:rsidP="00521C63">
      <w:pPr>
        <w:pStyle w:val="Heading3"/>
        <w:numPr>
          <w:ilvl w:val="0"/>
          <w:numId w:val="47"/>
        </w:numPr>
        <w:jc w:val="both"/>
        <w:rPr>
          <w:rFonts w:asciiTheme="minorHAnsi" w:hAnsiTheme="minorHAnsi"/>
          <w:b w:val="0"/>
        </w:rPr>
      </w:pPr>
      <w:r>
        <w:t>The time of day for optimal drug effect should be indicated (e.g., evening, morning etc.) where applicable.</w:t>
      </w:r>
    </w:p>
    <w:p w:rsidR="00C8218A" w:rsidRPr="00F6266D" w:rsidRDefault="00C8218A" w:rsidP="00521C63">
      <w:pPr>
        <w:pStyle w:val="Heading3"/>
        <w:numPr>
          <w:ilvl w:val="0"/>
          <w:numId w:val="47"/>
        </w:numPr>
        <w:jc w:val="both"/>
        <w:rPr>
          <w:rFonts w:asciiTheme="minorHAnsi" w:hAnsiTheme="minorHAnsi"/>
          <w:b w:val="0"/>
        </w:rPr>
      </w:pPr>
      <w:r>
        <w:t>Timing of administration of a dose with respect to food should be indicated.</w:t>
      </w:r>
    </w:p>
    <w:p w:rsidR="00002EF0" w:rsidRPr="00F6266D" w:rsidRDefault="00002EF0" w:rsidP="00002EF0">
      <w:pPr>
        <w:pStyle w:val="Heading2"/>
        <w:numPr>
          <w:ilvl w:val="7"/>
          <w:numId w:val="5"/>
        </w:numPr>
        <w:ind w:left="851"/>
        <w:jc w:val="both"/>
        <w:rPr>
          <w:rFonts w:asciiTheme="minorHAnsi" w:hAnsiTheme="minorHAnsi"/>
          <w:color w:val="000000" w:themeColor="text1"/>
          <w:sz w:val="22"/>
          <w:szCs w:val="22"/>
        </w:rPr>
      </w:pPr>
      <w:r>
        <w:t>Overdosage and treatment:</w:t>
      </w:r>
    </w:p>
    <w:p w:rsidR="00002EF0" w:rsidRPr="00F6266D" w:rsidRDefault="00002EF0" w:rsidP="00002EF0">
      <w:pPr>
        <w:ind w:left="720"/>
        <w:jc w:val="both"/>
        <w:rPr>
          <w:rFonts w:cstheme="minorHAnsi"/>
        </w:rPr>
      </w:pPr>
      <w:r>
        <w:t>Toxicity profile of the individual drugs on overdosage should be stated. A brief outline of the management in case of overdosage should be described.</w:t>
      </w:r>
    </w:p>
    <w:p w:rsidR="00D45EDF" w:rsidRPr="00F6266D" w:rsidRDefault="00D45EDF" w:rsidP="00D45EDF">
      <w:pPr>
        <w:pStyle w:val="Heading2"/>
        <w:numPr>
          <w:ilvl w:val="7"/>
          <w:numId w:val="5"/>
        </w:numPr>
        <w:ind w:left="851"/>
        <w:jc w:val="both"/>
        <w:rPr>
          <w:rFonts w:asciiTheme="minorHAnsi" w:hAnsiTheme="minorHAnsi"/>
          <w:color w:val="000000" w:themeColor="text1"/>
          <w:sz w:val="22"/>
          <w:szCs w:val="22"/>
        </w:rPr>
      </w:pPr>
      <w:r>
        <w:t>Drug Interactions</w:t>
      </w:r>
    </w:p>
    <w:p w:rsidR="00D45EDF" w:rsidRPr="00F6266D" w:rsidRDefault="00D45EDF" w:rsidP="00D45EDF">
      <w:pPr>
        <w:ind w:left="720"/>
        <w:jc w:val="both"/>
        <w:rPr>
          <w:rFonts w:cstheme="minorHAnsi"/>
          <w:lang w:val="en-IN"/>
        </w:rPr>
      </w:pPr>
      <w:r>
        <w:t>Interactions of any of the drugs present in the formulations with other drugs during concomitant administration should be mentioned preferably in a tabulated form.</w:t>
      </w:r>
    </w:p>
    <w:p w:rsidR="00C8218A" w:rsidRPr="00F6266D" w:rsidRDefault="00C8218A" w:rsidP="00C8218A">
      <w:pPr>
        <w:pStyle w:val="Heading2"/>
        <w:numPr>
          <w:ilvl w:val="7"/>
          <w:numId w:val="5"/>
        </w:numPr>
        <w:ind w:left="851"/>
        <w:jc w:val="both"/>
        <w:rPr>
          <w:rFonts w:asciiTheme="minorHAnsi" w:hAnsiTheme="minorHAnsi"/>
          <w:color w:val="000000" w:themeColor="text1"/>
          <w:sz w:val="22"/>
          <w:szCs w:val="22"/>
        </w:rPr>
      </w:pPr>
      <w:r>
        <w:t>Adverse Reactions</w:t>
      </w:r>
    </w:p>
    <w:p w:rsidR="00C8218A" w:rsidRPr="00F6266D" w:rsidRDefault="00C8218A" w:rsidP="00C8218A">
      <w:pPr>
        <w:pStyle w:val="ListParagraph"/>
        <w:jc w:val="both"/>
      </w:pPr>
    </w:p>
    <w:p w:rsidR="00C8218A" w:rsidRPr="00F6266D" w:rsidRDefault="00C8218A" w:rsidP="00C8218A">
      <w:pPr>
        <w:pStyle w:val="ListParagraph"/>
        <w:numPr>
          <w:ilvl w:val="0"/>
          <w:numId w:val="15"/>
        </w:numPr>
        <w:jc w:val="both"/>
      </w:pPr>
      <w:r>
        <w:t>This section should contain information in a tabulated form on all types of adverse drug reactions (ADRs) including those identified during clinical trials and as a result of post-market surveillance. Information relating to clinical trial ADRs and post-market ADRs should be presented separately.</w:t>
      </w:r>
    </w:p>
    <w:p w:rsidR="00C8218A" w:rsidRPr="00F6266D" w:rsidRDefault="00C8218A" w:rsidP="00C8218A">
      <w:pPr>
        <w:pStyle w:val="ListParagraph"/>
        <w:numPr>
          <w:ilvl w:val="0"/>
          <w:numId w:val="15"/>
        </w:numPr>
        <w:jc w:val="both"/>
      </w:pPr>
      <w:r>
        <w:t>The standard for defining frequency terms will be based on the Council for International Organizations of Medical Science (CIOMS) convention. Specifically:</w:t>
      </w:r>
    </w:p>
    <w:p w:rsidR="00C8218A" w:rsidRPr="00F6266D" w:rsidRDefault="00C8218A" w:rsidP="00C8218A">
      <w:pPr>
        <w:pStyle w:val="ListParagraph"/>
        <w:numPr>
          <w:ilvl w:val="1"/>
          <w:numId w:val="39"/>
        </w:numPr>
        <w:jc w:val="both"/>
      </w:pPr>
      <w:r>
        <w:t>Very common: ≥1/10 (≥10%);</w:t>
      </w:r>
    </w:p>
    <w:p w:rsidR="00C8218A" w:rsidRPr="00F6266D" w:rsidRDefault="00C8218A" w:rsidP="00C8218A">
      <w:pPr>
        <w:pStyle w:val="ListParagraph"/>
        <w:numPr>
          <w:ilvl w:val="1"/>
          <w:numId w:val="39"/>
        </w:numPr>
        <w:jc w:val="both"/>
      </w:pPr>
      <w:r>
        <w:t>Common (frequent): ≥1/100 and &lt;1/10 (≥1% and &lt;10%);</w:t>
      </w:r>
    </w:p>
    <w:p w:rsidR="00C8218A" w:rsidRPr="00F6266D" w:rsidRDefault="00C8218A" w:rsidP="00C8218A">
      <w:pPr>
        <w:pStyle w:val="ListParagraph"/>
        <w:numPr>
          <w:ilvl w:val="1"/>
          <w:numId w:val="39"/>
        </w:numPr>
        <w:jc w:val="both"/>
      </w:pPr>
      <w:r>
        <w:t>Uncommon (infrequent): ≥1/1,000 and &lt;1/100 (≥0.1% and &lt;1%);</w:t>
      </w:r>
    </w:p>
    <w:p w:rsidR="00C8218A" w:rsidRPr="00F6266D" w:rsidRDefault="00C8218A" w:rsidP="00C8218A">
      <w:pPr>
        <w:pStyle w:val="ListParagraph"/>
        <w:numPr>
          <w:ilvl w:val="1"/>
          <w:numId w:val="39"/>
        </w:numPr>
        <w:jc w:val="both"/>
      </w:pPr>
      <w:r>
        <w:t>Rare: ≥1/10,000 and &lt;1/1,000 (≥0.01% and &lt;0.1%);</w:t>
      </w:r>
    </w:p>
    <w:p w:rsidR="00C8218A" w:rsidRPr="00F6266D" w:rsidRDefault="00C8218A" w:rsidP="00C8218A">
      <w:pPr>
        <w:pStyle w:val="ListParagraph"/>
        <w:numPr>
          <w:ilvl w:val="1"/>
          <w:numId w:val="39"/>
        </w:numPr>
        <w:jc w:val="both"/>
      </w:pPr>
      <w:r>
        <w:t>Very rare: &lt;1/10,000 (&lt;0.01%), including isolated reports.</w:t>
      </w:r>
    </w:p>
    <w:p w:rsidR="00002EF0" w:rsidRPr="00F6266D" w:rsidRDefault="00002EF0" w:rsidP="00002EF0">
      <w:pPr>
        <w:pStyle w:val="Heading2"/>
        <w:numPr>
          <w:ilvl w:val="7"/>
          <w:numId w:val="5"/>
        </w:numPr>
        <w:ind w:left="851"/>
        <w:jc w:val="both"/>
        <w:rPr>
          <w:rFonts w:asciiTheme="minorHAnsi" w:hAnsiTheme="minorHAnsi"/>
          <w:color w:val="000000" w:themeColor="text1"/>
          <w:sz w:val="22"/>
          <w:szCs w:val="22"/>
        </w:rPr>
      </w:pPr>
      <w:r>
        <w:t xml:space="preserve">Serious Warnings and Precautions </w:t>
      </w:r>
    </w:p>
    <w:p w:rsidR="00002EF0" w:rsidRPr="00F6266D" w:rsidRDefault="00002EF0" w:rsidP="00002EF0">
      <w:pPr>
        <w:pStyle w:val="ListParagraph"/>
        <w:jc w:val="both"/>
      </w:pPr>
    </w:p>
    <w:p w:rsidR="00002EF0" w:rsidRPr="00F6266D" w:rsidRDefault="00002EF0" w:rsidP="00002EF0">
      <w:pPr>
        <w:pStyle w:val="ListParagraph"/>
        <w:jc w:val="both"/>
      </w:pPr>
      <w:r>
        <w:t xml:space="preserve">Clinically significant or life-threatening safety hazards when taking the drug should be highlighted in the “Serious Warnings and Precautions”. </w:t>
      </w:r>
    </w:p>
    <w:p w:rsidR="0021548F" w:rsidRPr="00F6266D" w:rsidRDefault="0021548F" w:rsidP="0021548F">
      <w:pPr>
        <w:pStyle w:val="Heading2"/>
        <w:numPr>
          <w:ilvl w:val="7"/>
          <w:numId w:val="5"/>
        </w:numPr>
        <w:ind w:left="851"/>
        <w:jc w:val="both"/>
        <w:rPr>
          <w:rFonts w:asciiTheme="minorHAnsi" w:hAnsiTheme="minorHAnsi"/>
          <w:color w:val="000000" w:themeColor="text1"/>
          <w:sz w:val="22"/>
          <w:szCs w:val="22"/>
        </w:rPr>
      </w:pPr>
      <w:r>
        <w:t>Storage:</w:t>
      </w:r>
    </w:p>
    <w:p w:rsidR="0021548F" w:rsidRPr="00F6266D" w:rsidRDefault="0021548F" w:rsidP="0021548F">
      <w:pPr>
        <w:pStyle w:val="ListParagraph"/>
        <w:jc w:val="both"/>
        <w:rPr>
          <w:rFonts w:cstheme="minorHAnsi"/>
        </w:rPr>
      </w:pPr>
      <w:r>
        <w:t>The storage temperature and place (if it is to be stored in a dark place) is to be mentioned</w:t>
      </w:r>
    </w:p>
    <w:p w:rsidR="0021548F" w:rsidRPr="00F6266D" w:rsidRDefault="0021548F" w:rsidP="0021548F">
      <w:pPr>
        <w:pStyle w:val="Heading2"/>
        <w:numPr>
          <w:ilvl w:val="7"/>
          <w:numId w:val="5"/>
        </w:numPr>
        <w:ind w:left="851"/>
        <w:jc w:val="both"/>
        <w:rPr>
          <w:rFonts w:asciiTheme="minorHAnsi" w:hAnsiTheme="minorHAnsi"/>
          <w:color w:val="000000" w:themeColor="text1"/>
          <w:sz w:val="22"/>
          <w:szCs w:val="22"/>
        </w:rPr>
      </w:pPr>
      <w:r>
        <w:t>Presentation:</w:t>
      </w:r>
    </w:p>
    <w:p w:rsidR="0021548F" w:rsidRPr="00F6266D" w:rsidRDefault="0021548F" w:rsidP="0021548F">
      <w:pPr>
        <w:pStyle w:val="ListParagraph"/>
        <w:jc w:val="both"/>
        <w:rPr>
          <w:rFonts w:cstheme="minorHAnsi"/>
        </w:rPr>
      </w:pPr>
      <w:r>
        <w:t>The number of tablets/capsules provided in each strip and the contents in  each box are to be given.</w:t>
      </w:r>
    </w:p>
    <w:p w:rsidR="0021548F" w:rsidRPr="00F6266D" w:rsidRDefault="0021548F" w:rsidP="00002EF0">
      <w:pPr>
        <w:pStyle w:val="ListParagraph"/>
        <w:jc w:val="both"/>
      </w:pPr>
    </w:p>
    <w:p w:rsidR="00002EF0" w:rsidRPr="00F6266D" w:rsidRDefault="00002EF0" w:rsidP="00002EF0">
      <w:pPr>
        <w:pStyle w:val="ListParagraph"/>
        <w:jc w:val="both"/>
      </w:pPr>
    </w:p>
    <w:p w:rsidR="00E15F0A" w:rsidRPr="00F6266D" w:rsidRDefault="00E15F0A" w:rsidP="00E15F0A">
      <w:pPr>
        <w:pStyle w:val="ListParagraph"/>
        <w:numPr>
          <w:ilvl w:val="0"/>
          <w:numId w:val="30"/>
        </w:numPr>
        <w:rPr>
          <w:rFonts w:cs="Times New Roman"/>
          <w:b/>
        </w:rPr>
      </w:pPr>
      <w:r>
        <w:t>REVIEW SUMAMRY</w:t>
      </w:r>
    </w:p>
    <w:tbl>
      <w:tblPr>
        <w:tblStyle w:val="TableGrid"/>
        <w:tblpPr w:leftFromText="180" w:rightFromText="180" w:vertAnchor="text" w:horzAnchor="margin" w:tblpY="32"/>
        <w:tblW w:w="5000" w:type="pct"/>
        <w:tblLook w:val="04A0"/>
      </w:tblPr>
      <w:tblGrid>
        <w:gridCol w:w="483"/>
        <w:gridCol w:w="651"/>
        <w:gridCol w:w="2323"/>
        <w:gridCol w:w="1925"/>
        <w:gridCol w:w="2191"/>
        <w:gridCol w:w="2003"/>
      </w:tblGrid>
      <w:tr w:rsidR="00E15F0A" w:rsidRPr="00F6266D" w:rsidTr="00213118">
        <w:trPr>
          <w:trHeight w:val="533"/>
        </w:trPr>
        <w:tc>
          <w:tcPr>
            <w:tcW w:w="252" w:type="pct"/>
            <w:tcBorders>
              <w:top w:val="dotted" w:sz="4" w:space="0" w:color="auto"/>
              <w:left w:val="dotted" w:sz="4" w:space="0" w:color="auto"/>
              <w:bottom w:val="dotted" w:sz="4" w:space="0" w:color="auto"/>
              <w:right w:val="dotted" w:sz="4" w:space="0" w:color="auto"/>
            </w:tcBorders>
            <w:hideMark/>
          </w:tcPr>
          <w:p>
            <w:r>
              <w:t>Sr.</w:t>
              <w:br/>
              <w:t>No.</w:t>
            </w:r>
          </w:p>
        </w:tc>
        <w:tc>
          <w:tcPr>
            <w:tcW w:w="340" w:type="pct"/>
            <w:tcBorders>
              <w:top w:val="dotted" w:sz="4" w:space="0" w:color="auto"/>
              <w:left w:val="dotted" w:sz="4" w:space="0" w:color="auto"/>
              <w:bottom w:val="dotted" w:sz="4" w:space="0" w:color="auto"/>
              <w:right w:val="dotted" w:sz="4" w:space="0" w:color="auto"/>
            </w:tcBorders>
            <w:hideMark/>
          </w:tcPr>
          <w:p>
            <w:r>
              <w:t>Pg. No.</w:t>
            </w:r>
          </w:p>
        </w:tc>
        <w:tc>
          <w:tcPr>
            <w:tcW w:w="1213" w:type="pct"/>
            <w:tcBorders>
              <w:top w:val="dotted" w:sz="4" w:space="0" w:color="auto"/>
              <w:left w:val="dotted" w:sz="4" w:space="0" w:color="auto"/>
              <w:bottom w:val="dotted" w:sz="4" w:space="0" w:color="auto"/>
              <w:right w:val="dotted" w:sz="4" w:space="0" w:color="auto"/>
            </w:tcBorders>
            <w:hideMark/>
          </w:tcPr>
          <w:p>
            <w:r>
              <w:t>Section/Clause/Para/ line</w:t>
            </w:r>
          </w:p>
        </w:tc>
        <w:tc>
          <w:tcPr>
            <w:tcW w:w="1005" w:type="pct"/>
            <w:tcBorders>
              <w:top w:val="dotted" w:sz="4" w:space="0" w:color="auto"/>
              <w:left w:val="dotted" w:sz="4" w:space="0" w:color="auto"/>
              <w:bottom w:val="dotted" w:sz="4" w:space="0" w:color="auto"/>
              <w:right w:val="dotted" w:sz="4" w:space="0" w:color="auto"/>
            </w:tcBorders>
            <w:hideMark/>
          </w:tcPr>
          <w:p>
            <w:r>
              <w:t>Date of Amendment</w:t>
            </w:r>
          </w:p>
        </w:tc>
        <w:tc>
          <w:tcPr>
            <w:tcW w:w="1144" w:type="pct"/>
            <w:tcBorders>
              <w:top w:val="dotted" w:sz="4" w:space="0" w:color="auto"/>
              <w:left w:val="dotted" w:sz="4" w:space="0" w:color="auto"/>
              <w:bottom w:val="dotted" w:sz="4" w:space="0" w:color="auto"/>
              <w:right w:val="dotted" w:sz="4" w:space="0" w:color="auto"/>
            </w:tcBorders>
            <w:hideMark/>
          </w:tcPr>
          <w:p>
            <w:r>
              <w:t>Amendment made</w:t>
            </w:r>
          </w:p>
        </w:tc>
        <w:tc>
          <w:tcPr>
            <w:tcW w:w="1046" w:type="pct"/>
            <w:tcBorders>
              <w:top w:val="dotted" w:sz="4" w:space="0" w:color="auto"/>
              <w:left w:val="dotted" w:sz="4" w:space="0" w:color="auto"/>
              <w:bottom w:val="dotted" w:sz="4" w:space="0" w:color="auto"/>
              <w:right w:val="dotted" w:sz="4" w:space="0" w:color="auto"/>
            </w:tcBorders>
            <w:hideMark/>
          </w:tcPr>
          <w:p>
            <w:r>
              <w:t>Reasons of Amendment</w:t>
            </w:r>
          </w:p>
        </w:tc>
      </w:tr>
      <w:tr w:rsidR="00E15F0A" w:rsidRPr="00F6266D" w:rsidTr="00213118">
        <w:tc>
          <w:tcPr>
            <w:tcW w:w="252"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r>
      <w:tr w:rsidR="00E15F0A" w:rsidRPr="00F6266D" w:rsidTr="00213118">
        <w:trPr>
          <w:trHeight w:val="83"/>
        </w:trPr>
        <w:tc>
          <w:tcPr>
            <w:tcW w:w="252"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r>
      <w:tr w:rsidR="00E15F0A" w:rsidRPr="00F6266D" w:rsidTr="00213118">
        <w:trPr>
          <w:trHeight w:val="83"/>
        </w:trPr>
        <w:tc>
          <w:tcPr>
            <w:tcW w:w="252"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r>
      <w:tr w:rsidR="00E15F0A" w:rsidRPr="00F6266D" w:rsidTr="00213118">
        <w:tc>
          <w:tcPr>
            <w:tcW w:w="252"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E15F0A" w:rsidRPr="00F6266D" w:rsidRDefault="00E15F0A" w:rsidP="00213118">
            <w:pPr>
              <w:spacing w:before="80" w:line="276" w:lineRule="auto"/>
              <w:jc w:val="both"/>
              <w:rPr>
                <w:rFonts w:asciiTheme="minorHAnsi" w:hAnsiTheme="minorHAnsi"/>
                <w:sz w:val="22"/>
                <w:szCs w:val="22"/>
                <w:lang w:val="en-US"/>
              </w:rPr>
            </w:pPr>
          </w:p>
        </w:tc>
      </w:tr>
    </w:tbl>
    <w:p w:rsidR="007B1715" w:rsidRPr="007B1715" w:rsidRDefault="007B1715" w:rsidP="00E15F0A">
      <w:pPr>
        <w:pStyle w:val="ListParagraph"/>
        <w:ind w:left="1080"/>
        <w:rPr>
          <w:rFonts w:cstheme="minorHAnsi"/>
          <w:b/>
          <w:sz w:val="24"/>
          <w:szCs w:val="24"/>
        </w:rPr>
      </w:pPr>
    </w:p>
    <w:sectPr w:rsidR="007B1715" w:rsidRPr="007B1715" w:rsidSect="00426822">
      <w:footerReference w:type="default" r:id="rId8"/>
      <w:headerReference w:type="defaul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3118" w:rsidRDefault="00213118" w:rsidP="00EE78D2">
      <w:pPr>
        <w:spacing w:after="0" w:line="240" w:lineRule="auto"/>
      </w:pPr>
      <w:r>
        <w:separator/>
      </w:r>
    </w:p>
  </w:endnote>
  <w:endnote w:type="continuationSeparator" w:id="0">
    <w:p w:rsidR="00213118" w:rsidRDefault="00213118" w:rsidP="00EE78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322604"/>
      <w:docPartObj>
        <w:docPartGallery w:val="Page Numbers (Bottom of Page)"/>
        <w:docPartUnique/>
      </w:docPartObj>
    </w:sdtPr>
    <w:sdtContent>
      <w:p w:rsidR="00213118" w:rsidRDefault="002F110B">
        <w:pPr>
          <w:pStyle w:val="Footer"/>
          <w:jc w:val="right"/>
        </w:pPr>
        <w:fldSimple w:instr=" PAGE   \* MERGEFORMAT ">
          <w:r w:rsidR="00F6266D">
            <w:rPr>
              <w:noProof/>
            </w:rPr>
            <w:t>7</w:t>
          </w:r>
        </w:fldSimple>
      </w:p>
    </w:sdtContent>
  </w:sdt>
  <w:p w:rsidR="00213118" w:rsidRPr="00503546" w:rsidRDefault="00213118" w:rsidP="00FF078F">
    <w:pPr>
      <w:pStyle w:val="Footer"/>
      <w:rPr>
        <w:b/>
      </w:rPr>
    </w:pPr>
    <w:r>
      <w:t>SOP No. COMPANY_MM_05: Preparation of Package Insert</w:t>
    </w:r>
  </w:p>
  <w:p w:rsidR="00213118" w:rsidRDefault="0021311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3118" w:rsidRDefault="00213118" w:rsidP="00EE78D2">
      <w:pPr>
        <w:spacing w:after="0" w:line="240" w:lineRule="auto"/>
      </w:pPr>
      <w:r>
        <w:separator/>
      </w:r>
    </w:p>
  </w:footnote>
  <w:footnote w:type="continuationSeparator" w:id="0">
    <w:p w:rsidR="00213118" w:rsidRDefault="00213118" w:rsidP="00EE78D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13C7E"/>
    <w:multiLevelType w:val="hybridMultilevel"/>
    <w:tmpl w:val="F97247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92FBC"/>
    <w:multiLevelType w:val="hybridMultilevel"/>
    <w:tmpl w:val="E368C2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EC00F7"/>
    <w:multiLevelType w:val="hybridMultilevel"/>
    <w:tmpl w:val="44A030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0A07040"/>
    <w:multiLevelType w:val="hybridMultilevel"/>
    <w:tmpl w:val="0CF8E57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14C407D"/>
    <w:multiLevelType w:val="hybridMultilevel"/>
    <w:tmpl w:val="2A72C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480D83"/>
    <w:multiLevelType w:val="hybridMultilevel"/>
    <w:tmpl w:val="F5E60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234707"/>
    <w:multiLevelType w:val="hybridMultilevel"/>
    <w:tmpl w:val="2DCAED8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174026F9"/>
    <w:multiLevelType w:val="hybridMultilevel"/>
    <w:tmpl w:val="97C030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8C441C7"/>
    <w:multiLevelType w:val="hybridMultilevel"/>
    <w:tmpl w:val="84042D46"/>
    <w:lvl w:ilvl="0" w:tplc="C9007A2A">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9F1910"/>
    <w:multiLevelType w:val="multilevel"/>
    <w:tmpl w:val="059816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A02B8F"/>
    <w:multiLevelType w:val="hybridMultilevel"/>
    <w:tmpl w:val="5CB64180"/>
    <w:lvl w:ilvl="0" w:tplc="FACA9BD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FA4030C"/>
    <w:multiLevelType w:val="hybridMultilevel"/>
    <w:tmpl w:val="46F0DD10"/>
    <w:lvl w:ilvl="0" w:tplc="40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2214118B"/>
    <w:multiLevelType w:val="hybridMultilevel"/>
    <w:tmpl w:val="AAE0C4E4"/>
    <w:lvl w:ilvl="0" w:tplc="40090015">
      <w:start w:val="1"/>
      <w:numFmt w:val="upperLetter"/>
      <w:lvlText w:val="%1."/>
      <w:lvlJc w:val="left"/>
      <w:pPr>
        <w:tabs>
          <w:tab w:val="num" w:pos="360"/>
        </w:tabs>
        <w:ind w:left="360" w:hanging="360"/>
      </w:pPr>
      <w:rPr>
        <w:b/>
        <w:bCs/>
        <w:i w:val="0"/>
        <w:iCs w:val="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3">
    <w:nsid w:val="2761655D"/>
    <w:multiLevelType w:val="hybridMultilevel"/>
    <w:tmpl w:val="C0D424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AE2156"/>
    <w:multiLevelType w:val="hybridMultilevel"/>
    <w:tmpl w:val="1534BE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B2B5283"/>
    <w:multiLevelType w:val="hybridMultilevel"/>
    <w:tmpl w:val="7AFC9E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2EF07B07"/>
    <w:multiLevelType w:val="hybridMultilevel"/>
    <w:tmpl w:val="FD8C999C"/>
    <w:lvl w:ilvl="0" w:tplc="C9007A2A">
      <w:start w:val="1"/>
      <w:numFmt w:val="bullet"/>
      <w:lvlText w:val=""/>
      <w:lvlJc w:val="left"/>
      <w:pPr>
        <w:ind w:left="1211" w:hanging="360"/>
      </w:pPr>
      <w:rPr>
        <w:rFonts w:ascii="Symbol" w:hAnsi="Symbol" w:hint="default"/>
        <w:sz w:val="20"/>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7">
    <w:nsid w:val="31B9427E"/>
    <w:multiLevelType w:val="hybridMultilevel"/>
    <w:tmpl w:val="4FB66038"/>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333D609F"/>
    <w:multiLevelType w:val="hybridMultilevel"/>
    <w:tmpl w:val="110657A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7F26D4E"/>
    <w:multiLevelType w:val="hybridMultilevel"/>
    <w:tmpl w:val="4FF256C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3CA96102"/>
    <w:multiLevelType w:val="hybridMultilevel"/>
    <w:tmpl w:val="BD3E9B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3D2F7433"/>
    <w:multiLevelType w:val="hybridMultilevel"/>
    <w:tmpl w:val="790A053C"/>
    <w:lvl w:ilvl="0" w:tplc="FACA9BD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3DB05212"/>
    <w:multiLevelType w:val="hybridMultilevel"/>
    <w:tmpl w:val="D3DAE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FA56330"/>
    <w:multiLevelType w:val="hybridMultilevel"/>
    <w:tmpl w:val="4AD897A2"/>
    <w:lvl w:ilvl="0" w:tplc="4009000F">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3FF25BFF"/>
    <w:multiLevelType w:val="hybridMultilevel"/>
    <w:tmpl w:val="05B446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1760EB4"/>
    <w:multiLevelType w:val="hybridMultilevel"/>
    <w:tmpl w:val="89CA7324"/>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41E6988"/>
    <w:multiLevelType w:val="hybridMultilevel"/>
    <w:tmpl w:val="586C7DD2"/>
    <w:lvl w:ilvl="0" w:tplc="FACA9BD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47F54972"/>
    <w:multiLevelType w:val="hybridMultilevel"/>
    <w:tmpl w:val="A93E62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DAD2FD2"/>
    <w:multiLevelType w:val="hybridMultilevel"/>
    <w:tmpl w:val="A50661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8EB7DD5"/>
    <w:multiLevelType w:val="hybridMultilevel"/>
    <w:tmpl w:val="2ED046D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C612CB9"/>
    <w:multiLevelType w:val="hybridMultilevel"/>
    <w:tmpl w:val="C842222C"/>
    <w:lvl w:ilvl="0" w:tplc="5A9ECDC8">
      <w:start w:val="1"/>
      <w:numFmt w:val="lowerLetter"/>
      <w:lvlText w:val="%1)"/>
      <w:lvlJc w:val="left"/>
      <w:pPr>
        <w:ind w:left="1080" w:hanging="360"/>
      </w:pPr>
      <w:rPr>
        <w:rFonts w:hint="default"/>
        <w:b/>
        <w:i w:val="0"/>
      </w:rPr>
    </w:lvl>
    <w:lvl w:ilvl="1" w:tplc="5D782C76">
      <w:start w:val="1"/>
      <w:numFmt w:val="lowerRoman"/>
      <w:lvlText w:val="%2."/>
      <w:lvlJc w:val="right"/>
      <w:pPr>
        <w:ind w:left="1800" w:hanging="360"/>
      </w:pPr>
      <w:rPr>
        <w:b w:val="0"/>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nsid w:val="5C690338"/>
    <w:multiLevelType w:val="hybridMultilevel"/>
    <w:tmpl w:val="3E2A1A8A"/>
    <w:lvl w:ilvl="0" w:tplc="7736D974">
      <w:start w:val="1"/>
      <w:numFmt w:val="lowerRoman"/>
      <w:lvlText w:val="%1."/>
      <w:lvlJc w:val="right"/>
      <w:pPr>
        <w:ind w:left="1571" w:hanging="360"/>
      </w:pPr>
      <w:rPr>
        <w:b w:val="0"/>
      </w:rPr>
    </w:lvl>
    <w:lvl w:ilvl="1" w:tplc="40090001">
      <w:start w:val="1"/>
      <w:numFmt w:val="bullet"/>
      <w:lvlText w:val=""/>
      <w:lvlJc w:val="left"/>
      <w:pPr>
        <w:ind w:left="2291" w:hanging="360"/>
      </w:pPr>
      <w:rPr>
        <w:rFonts w:ascii="Symbol" w:hAnsi="Symbol" w:hint="default"/>
      </w:r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32">
    <w:nsid w:val="5E4C5B2F"/>
    <w:multiLevelType w:val="hybridMultilevel"/>
    <w:tmpl w:val="EA2E6CC6"/>
    <w:lvl w:ilvl="0" w:tplc="04090017">
      <w:start w:val="1"/>
      <w:numFmt w:val="lowerLetter"/>
      <w:lvlText w:val="%1)"/>
      <w:lvlJc w:val="left"/>
      <w:pPr>
        <w:ind w:left="1440" w:hanging="360"/>
      </w:pPr>
    </w:lvl>
    <w:lvl w:ilvl="1" w:tplc="40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5EA11069"/>
    <w:multiLevelType w:val="multilevel"/>
    <w:tmpl w:val="62D876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nsid w:val="5F7D7935"/>
    <w:multiLevelType w:val="hybridMultilevel"/>
    <w:tmpl w:val="4DB0EFB0"/>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03C2A35"/>
    <w:multiLevelType w:val="hybridMultilevel"/>
    <w:tmpl w:val="F68E3E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65B7D1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8F6752E"/>
    <w:multiLevelType w:val="hybridMultilevel"/>
    <w:tmpl w:val="DC3436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nsid w:val="6BD938DE"/>
    <w:multiLevelType w:val="hybridMultilevel"/>
    <w:tmpl w:val="96D4C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D0C471F"/>
    <w:multiLevelType w:val="hybridMultilevel"/>
    <w:tmpl w:val="4E12706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E114568"/>
    <w:multiLevelType w:val="hybridMultilevel"/>
    <w:tmpl w:val="E7B6C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ED001F4"/>
    <w:multiLevelType w:val="hybridMultilevel"/>
    <w:tmpl w:val="1FE288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31115B6"/>
    <w:multiLevelType w:val="hybridMultilevel"/>
    <w:tmpl w:val="2FA8BB6C"/>
    <w:lvl w:ilvl="0" w:tplc="40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63803A6"/>
    <w:multiLevelType w:val="hybridMultilevel"/>
    <w:tmpl w:val="5C4438C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77315476"/>
    <w:multiLevelType w:val="hybridMultilevel"/>
    <w:tmpl w:val="D3448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98D6ACD"/>
    <w:multiLevelType w:val="hybridMultilevel"/>
    <w:tmpl w:val="F9D2A8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9"/>
  </w:num>
  <w:num w:numId="3">
    <w:abstractNumId w:val="17"/>
  </w:num>
  <w:num w:numId="4">
    <w:abstractNumId w:val="40"/>
  </w:num>
  <w:num w:numId="5">
    <w:abstractNumId w:val="36"/>
  </w:num>
  <w:num w:numId="6">
    <w:abstractNumId w:val="44"/>
  </w:num>
  <w:num w:numId="7">
    <w:abstractNumId w:val="33"/>
  </w:num>
  <w:num w:numId="8">
    <w:abstractNumId w:val="13"/>
  </w:num>
  <w:num w:numId="9">
    <w:abstractNumId w:val="35"/>
  </w:num>
  <w:num w:numId="10">
    <w:abstractNumId w:val="28"/>
  </w:num>
  <w:num w:numId="11">
    <w:abstractNumId w:val="8"/>
  </w:num>
  <w:num w:numId="12">
    <w:abstractNumId w:val="39"/>
  </w:num>
  <w:num w:numId="13">
    <w:abstractNumId w:val="6"/>
  </w:num>
  <w:num w:numId="14">
    <w:abstractNumId w:val="16"/>
  </w:num>
  <w:num w:numId="15">
    <w:abstractNumId w:val="29"/>
  </w:num>
  <w:num w:numId="16">
    <w:abstractNumId w:val="2"/>
  </w:num>
  <w:num w:numId="17">
    <w:abstractNumId w:val="5"/>
  </w:num>
  <w:num w:numId="18">
    <w:abstractNumId w:val="45"/>
  </w:num>
  <w:num w:numId="19">
    <w:abstractNumId w:val="7"/>
  </w:num>
  <w:num w:numId="20">
    <w:abstractNumId w:val="18"/>
  </w:num>
  <w:num w:numId="21">
    <w:abstractNumId w:val="3"/>
  </w:num>
  <w:num w:numId="22">
    <w:abstractNumId w:val="0"/>
  </w:num>
  <w:num w:numId="23">
    <w:abstractNumId w:val="1"/>
  </w:num>
  <w:num w:numId="24">
    <w:abstractNumId w:val="24"/>
  </w:num>
  <w:num w:numId="25">
    <w:abstractNumId w:val="27"/>
  </w:num>
  <w:num w:numId="26">
    <w:abstractNumId w:val="19"/>
  </w:num>
  <w:num w:numId="27">
    <w:abstractNumId w:val="15"/>
  </w:num>
  <w:num w:numId="28">
    <w:abstractNumId w:val="20"/>
  </w:num>
  <w:num w:numId="29">
    <w:abstractNumId w:val="41"/>
  </w:num>
  <w:num w:numId="30">
    <w:abstractNumId w:val="26"/>
  </w:num>
  <w:num w:numId="31">
    <w:abstractNumId w:val="23"/>
  </w:num>
  <w:num w:numId="32">
    <w:abstractNumId w:val="10"/>
  </w:num>
  <w:num w:numId="33">
    <w:abstractNumId w:val="43"/>
  </w:num>
  <w:num w:numId="34">
    <w:abstractNumId w:val="22"/>
  </w:num>
  <w:num w:numId="35">
    <w:abstractNumId w:val="42"/>
  </w:num>
  <w:num w:numId="36">
    <w:abstractNumId w:val="14"/>
  </w:num>
  <w:num w:numId="37">
    <w:abstractNumId w:val="37"/>
  </w:num>
  <w:num w:numId="38">
    <w:abstractNumId w:val="31"/>
  </w:num>
  <w:num w:numId="39">
    <w:abstractNumId w:val="32"/>
  </w:num>
  <w:num w:numId="40">
    <w:abstractNumId w:val="34"/>
  </w:num>
  <w:num w:numId="41">
    <w:abstractNumId w:val="25"/>
  </w:num>
  <w:num w:numId="42">
    <w:abstractNumId w:val="4"/>
  </w:num>
  <w:num w:numId="43">
    <w:abstractNumId w:val="12"/>
  </w:num>
  <w:num w:numId="44">
    <w:abstractNumId w:val="21"/>
  </w:num>
  <w:num w:numId="45">
    <w:abstractNumId w:val="12"/>
  </w:num>
  <w:num w:numId="46">
    <w:abstractNumId w:val="12"/>
    <w:lvlOverride w:ilvl="0">
      <w:startOverride w:val="1"/>
    </w:lvlOverride>
    <w:lvlOverride w:ilvl="1"/>
    <w:lvlOverride w:ilvl="2"/>
    <w:lvlOverride w:ilvl="3"/>
    <w:lvlOverride w:ilvl="4"/>
    <w:lvlOverride w:ilvl="5"/>
    <w:lvlOverride w:ilvl="6"/>
    <w:lvlOverride w:ilvl="7"/>
    <w:lvlOverride w:ilvl="8"/>
  </w:num>
  <w:num w:numId="47">
    <w:abstractNumId w:val="11"/>
  </w:num>
  <w:num w:numId="48">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DD4435"/>
    <w:rsid w:val="00002EF0"/>
    <w:rsid w:val="00050502"/>
    <w:rsid w:val="00060B13"/>
    <w:rsid w:val="000A3594"/>
    <w:rsid w:val="000A69D5"/>
    <w:rsid w:val="000D242B"/>
    <w:rsid w:val="000D5365"/>
    <w:rsid w:val="00117035"/>
    <w:rsid w:val="00213118"/>
    <w:rsid w:val="0021548F"/>
    <w:rsid w:val="00223D51"/>
    <w:rsid w:val="00226F03"/>
    <w:rsid w:val="002677FA"/>
    <w:rsid w:val="002B0308"/>
    <w:rsid w:val="002C27E4"/>
    <w:rsid w:val="002E0798"/>
    <w:rsid w:val="002E5DA0"/>
    <w:rsid w:val="002F110B"/>
    <w:rsid w:val="003151E2"/>
    <w:rsid w:val="00330DCB"/>
    <w:rsid w:val="003451D7"/>
    <w:rsid w:val="003A7791"/>
    <w:rsid w:val="003B46CF"/>
    <w:rsid w:val="003C2B81"/>
    <w:rsid w:val="003E6208"/>
    <w:rsid w:val="00403675"/>
    <w:rsid w:val="00426822"/>
    <w:rsid w:val="00452A1C"/>
    <w:rsid w:val="004774E5"/>
    <w:rsid w:val="004A3D16"/>
    <w:rsid w:val="004A7C32"/>
    <w:rsid w:val="004B4D2F"/>
    <w:rsid w:val="005079E2"/>
    <w:rsid w:val="0052120A"/>
    <w:rsid w:val="00521C63"/>
    <w:rsid w:val="00560B73"/>
    <w:rsid w:val="00595760"/>
    <w:rsid w:val="005D1ACE"/>
    <w:rsid w:val="0060336E"/>
    <w:rsid w:val="006226E6"/>
    <w:rsid w:val="00637B50"/>
    <w:rsid w:val="00693ED2"/>
    <w:rsid w:val="006D6AC8"/>
    <w:rsid w:val="006D6D57"/>
    <w:rsid w:val="007167F4"/>
    <w:rsid w:val="00731331"/>
    <w:rsid w:val="00740974"/>
    <w:rsid w:val="0076229D"/>
    <w:rsid w:val="00794CFB"/>
    <w:rsid w:val="007B1715"/>
    <w:rsid w:val="007B51DB"/>
    <w:rsid w:val="007D1849"/>
    <w:rsid w:val="007F21FA"/>
    <w:rsid w:val="00800C0B"/>
    <w:rsid w:val="0084209F"/>
    <w:rsid w:val="00845CBD"/>
    <w:rsid w:val="008D46A1"/>
    <w:rsid w:val="00907ED8"/>
    <w:rsid w:val="00940357"/>
    <w:rsid w:val="009608C2"/>
    <w:rsid w:val="0096170C"/>
    <w:rsid w:val="009837CA"/>
    <w:rsid w:val="00991638"/>
    <w:rsid w:val="009A6553"/>
    <w:rsid w:val="009D7C78"/>
    <w:rsid w:val="009D7EA7"/>
    <w:rsid w:val="00A26C9C"/>
    <w:rsid w:val="00A35779"/>
    <w:rsid w:val="00A4774B"/>
    <w:rsid w:val="00A57630"/>
    <w:rsid w:val="00A60576"/>
    <w:rsid w:val="00A845FE"/>
    <w:rsid w:val="00A93B9B"/>
    <w:rsid w:val="00AA1FA5"/>
    <w:rsid w:val="00AB60E7"/>
    <w:rsid w:val="00AC3E7F"/>
    <w:rsid w:val="00AD0F34"/>
    <w:rsid w:val="00AD4177"/>
    <w:rsid w:val="00AF62F0"/>
    <w:rsid w:val="00BB6F75"/>
    <w:rsid w:val="00BD7E27"/>
    <w:rsid w:val="00BF1018"/>
    <w:rsid w:val="00C0578C"/>
    <w:rsid w:val="00C37DEE"/>
    <w:rsid w:val="00C37ED6"/>
    <w:rsid w:val="00C54860"/>
    <w:rsid w:val="00C74B6D"/>
    <w:rsid w:val="00C8094F"/>
    <w:rsid w:val="00C8218A"/>
    <w:rsid w:val="00C8658E"/>
    <w:rsid w:val="00CA55F0"/>
    <w:rsid w:val="00D30EF2"/>
    <w:rsid w:val="00D34D22"/>
    <w:rsid w:val="00D45EDF"/>
    <w:rsid w:val="00D91B52"/>
    <w:rsid w:val="00D9328F"/>
    <w:rsid w:val="00DA0C32"/>
    <w:rsid w:val="00DB5A1C"/>
    <w:rsid w:val="00DD4435"/>
    <w:rsid w:val="00DE4DE6"/>
    <w:rsid w:val="00DF52DA"/>
    <w:rsid w:val="00E0260D"/>
    <w:rsid w:val="00E15F0A"/>
    <w:rsid w:val="00E203FF"/>
    <w:rsid w:val="00E21689"/>
    <w:rsid w:val="00E2265C"/>
    <w:rsid w:val="00E6776A"/>
    <w:rsid w:val="00E7396B"/>
    <w:rsid w:val="00E87739"/>
    <w:rsid w:val="00EE56DE"/>
    <w:rsid w:val="00EE78D2"/>
    <w:rsid w:val="00F34D20"/>
    <w:rsid w:val="00F44220"/>
    <w:rsid w:val="00F6266D"/>
    <w:rsid w:val="00F752F2"/>
    <w:rsid w:val="00F81B3B"/>
    <w:rsid w:val="00FB0A90"/>
    <w:rsid w:val="00FD310F"/>
    <w:rsid w:val="00FF078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822"/>
  </w:style>
  <w:style w:type="paragraph" w:styleId="Heading1">
    <w:name w:val="heading 1"/>
    <w:basedOn w:val="Normal"/>
    <w:next w:val="Normal"/>
    <w:link w:val="Heading1Char"/>
    <w:uiPriority w:val="9"/>
    <w:qFormat/>
    <w:rsid w:val="009D7EA7"/>
    <w:pPr>
      <w:keepNext/>
      <w:keepLines/>
      <w:spacing w:before="480" w:after="0"/>
      <w:outlineLvl w:val="0"/>
    </w:pPr>
    <w:rPr>
      <w:rFonts w:asciiTheme="majorHAnsi" w:eastAsiaTheme="majorEastAsia" w:hAnsiTheme="majorHAnsi" w:cstheme="majorBidi"/>
      <w:b/>
      <w:bCs/>
      <w:color w:val="C00000"/>
      <w:sz w:val="28"/>
      <w:szCs w:val="28"/>
    </w:rPr>
  </w:style>
  <w:style w:type="paragraph" w:styleId="Heading2">
    <w:name w:val="heading 2"/>
    <w:basedOn w:val="Normal"/>
    <w:next w:val="Normal"/>
    <w:link w:val="Heading2Char"/>
    <w:uiPriority w:val="9"/>
    <w:unhideWhenUsed/>
    <w:qFormat/>
    <w:rsid w:val="009D7EA7"/>
    <w:pPr>
      <w:keepNext/>
      <w:keepLines/>
      <w:spacing w:before="200" w:after="0"/>
      <w:outlineLvl w:val="1"/>
    </w:pPr>
    <w:rPr>
      <w:rFonts w:asciiTheme="majorHAnsi" w:eastAsiaTheme="majorEastAsia" w:hAnsiTheme="majorHAnsi" w:cstheme="majorBidi"/>
      <w:b/>
      <w:bCs/>
      <w:color w:val="00B0F0"/>
      <w:sz w:val="24"/>
      <w:szCs w:val="26"/>
    </w:rPr>
  </w:style>
  <w:style w:type="paragraph" w:styleId="Heading3">
    <w:name w:val="heading 3"/>
    <w:basedOn w:val="Normal"/>
    <w:next w:val="Normal"/>
    <w:link w:val="Heading3Char"/>
    <w:uiPriority w:val="9"/>
    <w:unhideWhenUsed/>
    <w:qFormat/>
    <w:rsid w:val="009837CA"/>
    <w:pPr>
      <w:keepNext/>
      <w:keepLines/>
      <w:spacing w:before="200" w:after="0"/>
      <w:outlineLvl w:val="2"/>
    </w:pPr>
    <w:rPr>
      <w:rFonts w:asciiTheme="majorHAnsi" w:eastAsiaTheme="majorEastAsia" w:hAnsiTheme="majorHAnsi" w:cstheme="majorBidi"/>
      <w:b/>
      <w:bCs/>
    </w:rPr>
  </w:style>
  <w:style w:type="paragraph" w:styleId="Heading5">
    <w:name w:val="heading 5"/>
    <w:basedOn w:val="Normal"/>
    <w:next w:val="Normal"/>
    <w:link w:val="Heading5Char"/>
    <w:uiPriority w:val="9"/>
    <w:semiHidden/>
    <w:unhideWhenUsed/>
    <w:qFormat/>
    <w:rsid w:val="009837C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B171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B1715"/>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03FF"/>
    <w:rPr>
      <w:color w:val="0000FF" w:themeColor="hyperlink"/>
      <w:u w:val="single"/>
    </w:rPr>
  </w:style>
  <w:style w:type="paragraph" w:styleId="ListParagraph">
    <w:name w:val="List Paragraph"/>
    <w:basedOn w:val="Normal"/>
    <w:uiPriority w:val="34"/>
    <w:qFormat/>
    <w:rsid w:val="00E203FF"/>
    <w:pPr>
      <w:ind w:left="720"/>
      <w:contextualSpacing/>
    </w:pPr>
  </w:style>
  <w:style w:type="character" w:customStyle="1" w:styleId="Heading1Char">
    <w:name w:val="Heading 1 Char"/>
    <w:basedOn w:val="DefaultParagraphFont"/>
    <w:link w:val="Heading1"/>
    <w:uiPriority w:val="9"/>
    <w:rsid w:val="009D7EA7"/>
    <w:rPr>
      <w:rFonts w:asciiTheme="majorHAnsi" w:eastAsiaTheme="majorEastAsia" w:hAnsiTheme="majorHAnsi" w:cstheme="majorBidi"/>
      <w:b/>
      <w:bCs/>
      <w:color w:val="C00000"/>
      <w:sz w:val="28"/>
      <w:szCs w:val="28"/>
    </w:rPr>
  </w:style>
  <w:style w:type="character" w:customStyle="1" w:styleId="Heading2Char">
    <w:name w:val="Heading 2 Char"/>
    <w:basedOn w:val="DefaultParagraphFont"/>
    <w:link w:val="Heading2"/>
    <w:uiPriority w:val="9"/>
    <w:rsid w:val="009D7EA7"/>
    <w:rPr>
      <w:rFonts w:asciiTheme="majorHAnsi" w:eastAsiaTheme="majorEastAsia" w:hAnsiTheme="majorHAnsi" w:cstheme="majorBidi"/>
      <w:b/>
      <w:bCs/>
      <w:color w:val="00B0F0"/>
      <w:sz w:val="24"/>
      <w:szCs w:val="26"/>
    </w:rPr>
  </w:style>
  <w:style w:type="character" w:customStyle="1" w:styleId="Heading3Char">
    <w:name w:val="Heading 3 Char"/>
    <w:basedOn w:val="DefaultParagraphFont"/>
    <w:link w:val="Heading3"/>
    <w:uiPriority w:val="9"/>
    <w:rsid w:val="009837CA"/>
    <w:rPr>
      <w:rFonts w:asciiTheme="majorHAnsi" w:eastAsiaTheme="majorEastAsia" w:hAnsiTheme="majorHAnsi" w:cstheme="majorBidi"/>
      <w:b/>
      <w:bCs/>
    </w:rPr>
  </w:style>
  <w:style w:type="paragraph" w:styleId="DocumentMap">
    <w:name w:val="Document Map"/>
    <w:basedOn w:val="Normal"/>
    <w:link w:val="DocumentMapChar"/>
    <w:uiPriority w:val="99"/>
    <w:semiHidden/>
    <w:unhideWhenUsed/>
    <w:rsid w:val="009D7EA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D7EA7"/>
    <w:rPr>
      <w:rFonts w:ascii="Tahoma" w:hAnsi="Tahoma" w:cs="Tahoma"/>
      <w:sz w:val="16"/>
      <w:szCs w:val="16"/>
    </w:rPr>
  </w:style>
  <w:style w:type="paragraph" w:styleId="NormalWeb">
    <w:name w:val="Normal (Web)"/>
    <w:basedOn w:val="Normal"/>
    <w:uiPriority w:val="99"/>
    <w:unhideWhenUsed/>
    <w:rsid w:val="00A93B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9837CA"/>
    <w:rPr>
      <w:rFonts w:asciiTheme="majorHAnsi" w:eastAsiaTheme="majorEastAsia" w:hAnsiTheme="majorHAnsi" w:cstheme="majorBidi"/>
      <w:color w:val="243F60" w:themeColor="accent1" w:themeShade="7F"/>
    </w:rPr>
  </w:style>
  <w:style w:type="paragraph" w:customStyle="1" w:styleId="indent20">
    <w:name w:val="indent20"/>
    <w:basedOn w:val="Normal"/>
    <w:rsid w:val="009837C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837CA"/>
    <w:rPr>
      <w:i/>
      <w:iCs/>
    </w:rPr>
  </w:style>
  <w:style w:type="character" w:customStyle="1" w:styleId="apple-converted-space">
    <w:name w:val="apple-converted-space"/>
    <w:basedOn w:val="DefaultParagraphFont"/>
    <w:rsid w:val="00E0260D"/>
  </w:style>
  <w:style w:type="paragraph" w:styleId="Header">
    <w:name w:val="header"/>
    <w:basedOn w:val="Normal"/>
    <w:link w:val="HeaderChar"/>
    <w:uiPriority w:val="99"/>
    <w:unhideWhenUsed/>
    <w:rsid w:val="00EE78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8D2"/>
  </w:style>
  <w:style w:type="paragraph" w:styleId="Footer">
    <w:name w:val="footer"/>
    <w:basedOn w:val="Normal"/>
    <w:link w:val="FooterChar"/>
    <w:uiPriority w:val="99"/>
    <w:unhideWhenUsed/>
    <w:rsid w:val="00EE78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8D2"/>
  </w:style>
  <w:style w:type="table" w:styleId="TableGrid">
    <w:name w:val="Table Grid"/>
    <w:basedOn w:val="TableNormal"/>
    <w:uiPriority w:val="59"/>
    <w:rsid w:val="00560B73"/>
    <w:pPr>
      <w:spacing w:after="0" w:line="240" w:lineRule="auto"/>
    </w:pPr>
    <w:rPr>
      <w:rFonts w:ascii="Times New Roman" w:eastAsia="Times New Roman" w:hAnsi="Times New Roman" w:cs="Times New Roman"/>
      <w:sz w:val="20"/>
      <w:szCs w:val="20"/>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BF1018"/>
    <w:pPr>
      <w:spacing w:after="0" w:line="240" w:lineRule="auto"/>
    </w:pPr>
  </w:style>
  <w:style w:type="character" w:customStyle="1" w:styleId="Heading6Char">
    <w:name w:val="Heading 6 Char"/>
    <w:basedOn w:val="DefaultParagraphFont"/>
    <w:link w:val="Heading6"/>
    <w:uiPriority w:val="9"/>
    <w:rsid w:val="007B171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7B1715"/>
    <w:rPr>
      <w:rFonts w:asciiTheme="majorHAnsi" w:eastAsiaTheme="majorEastAsia" w:hAnsiTheme="majorHAnsi" w:cstheme="majorBidi"/>
      <w:i/>
      <w:iCs/>
      <w:color w:val="404040" w:themeColor="text1" w:themeTint="BF"/>
    </w:rPr>
  </w:style>
  <w:style w:type="paragraph" w:styleId="BodyText2">
    <w:name w:val="Body Text 2"/>
    <w:basedOn w:val="Normal"/>
    <w:link w:val="BodyText2Char"/>
    <w:uiPriority w:val="99"/>
    <w:unhideWhenUsed/>
    <w:rsid w:val="007B1715"/>
    <w:pPr>
      <w:autoSpaceDE w:val="0"/>
      <w:autoSpaceDN w:val="0"/>
      <w:spacing w:after="0" w:line="240" w:lineRule="auto"/>
    </w:pPr>
    <w:rPr>
      <w:rFonts w:ascii="Arial" w:eastAsiaTheme="minorEastAsia" w:hAnsi="Arial" w:cs="Arial"/>
      <w:sz w:val="24"/>
      <w:szCs w:val="24"/>
    </w:rPr>
  </w:style>
  <w:style w:type="character" w:customStyle="1" w:styleId="BodyText2Char">
    <w:name w:val="Body Text 2 Char"/>
    <w:basedOn w:val="DefaultParagraphFont"/>
    <w:link w:val="BodyText2"/>
    <w:uiPriority w:val="99"/>
    <w:rsid w:val="007B1715"/>
    <w:rPr>
      <w:rFonts w:ascii="Arial" w:eastAsiaTheme="minorEastAsia" w:hAnsi="Arial" w:cs="Arial"/>
      <w:sz w:val="24"/>
      <w:szCs w:val="24"/>
    </w:rPr>
  </w:style>
  <w:style w:type="paragraph" w:styleId="BodyTextIndent2">
    <w:name w:val="Body Text Indent 2"/>
    <w:basedOn w:val="Normal"/>
    <w:link w:val="BodyTextIndent2Char"/>
    <w:uiPriority w:val="99"/>
    <w:unhideWhenUsed/>
    <w:rsid w:val="007B1715"/>
    <w:pPr>
      <w:tabs>
        <w:tab w:val="left" w:pos="360"/>
        <w:tab w:val="left" w:pos="450"/>
        <w:tab w:val="left" w:pos="900"/>
        <w:tab w:val="left" w:pos="990"/>
      </w:tabs>
      <w:autoSpaceDE w:val="0"/>
      <w:autoSpaceDN w:val="0"/>
      <w:spacing w:after="0" w:line="240" w:lineRule="auto"/>
      <w:ind w:left="360"/>
      <w:jc w:val="both"/>
    </w:pPr>
    <w:rPr>
      <w:rFonts w:ascii="Arial" w:eastAsiaTheme="minorEastAsia" w:hAnsi="Arial" w:cs="Arial"/>
      <w:sz w:val="24"/>
      <w:szCs w:val="24"/>
    </w:rPr>
  </w:style>
  <w:style w:type="character" w:customStyle="1" w:styleId="BodyTextIndent2Char">
    <w:name w:val="Body Text Indent 2 Char"/>
    <w:basedOn w:val="DefaultParagraphFont"/>
    <w:link w:val="BodyTextIndent2"/>
    <w:uiPriority w:val="99"/>
    <w:rsid w:val="007B1715"/>
    <w:rPr>
      <w:rFonts w:ascii="Arial" w:eastAsiaTheme="minorEastAsia" w:hAnsi="Arial" w:cs="Arial"/>
      <w:sz w:val="24"/>
      <w:szCs w:val="24"/>
    </w:rPr>
  </w:style>
</w:styles>
</file>

<file path=word/webSettings.xml><?xml version="1.0" encoding="utf-8"?>
<w:webSettings xmlns:r="http://schemas.openxmlformats.org/officeDocument/2006/relationships" xmlns:w="http://schemas.openxmlformats.org/wordprocessingml/2006/main">
  <w:divs>
    <w:div w:id="54820106">
      <w:bodyDiv w:val="1"/>
      <w:marLeft w:val="0"/>
      <w:marRight w:val="0"/>
      <w:marTop w:val="0"/>
      <w:marBottom w:val="0"/>
      <w:divBdr>
        <w:top w:val="none" w:sz="0" w:space="0" w:color="auto"/>
        <w:left w:val="none" w:sz="0" w:space="0" w:color="auto"/>
        <w:bottom w:val="none" w:sz="0" w:space="0" w:color="auto"/>
        <w:right w:val="none" w:sz="0" w:space="0" w:color="auto"/>
      </w:divBdr>
    </w:div>
    <w:div w:id="72246769">
      <w:bodyDiv w:val="1"/>
      <w:marLeft w:val="0"/>
      <w:marRight w:val="0"/>
      <w:marTop w:val="0"/>
      <w:marBottom w:val="0"/>
      <w:divBdr>
        <w:top w:val="none" w:sz="0" w:space="0" w:color="auto"/>
        <w:left w:val="none" w:sz="0" w:space="0" w:color="auto"/>
        <w:bottom w:val="none" w:sz="0" w:space="0" w:color="auto"/>
        <w:right w:val="none" w:sz="0" w:space="0" w:color="auto"/>
      </w:divBdr>
    </w:div>
    <w:div w:id="139079870">
      <w:bodyDiv w:val="1"/>
      <w:marLeft w:val="0"/>
      <w:marRight w:val="0"/>
      <w:marTop w:val="0"/>
      <w:marBottom w:val="0"/>
      <w:divBdr>
        <w:top w:val="none" w:sz="0" w:space="0" w:color="auto"/>
        <w:left w:val="none" w:sz="0" w:space="0" w:color="auto"/>
        <w:bottom w:val="none" w:sz="0" w:space="0" w:color="auto"/>
        <w:right w:val="none" w:sz="0" w:space="0" w:color="auto"/>
      </w:divBdr>
    </w:div>
    <w:div w:id="150758889">
      <w:bodyDiv w:val="1"/>
      <w:marLeft w:val="0"/>
      <w:marRight w:val="0"/>
      <w:marTop w:val="0"/>
      <w:marBottom w:val="0"/>
      <w:divBdr>
        <w:top w:val="none" w:sz="0" w:space="0" w:color="auto"/>
        <w:left w:val="none" w:sz="0" w:space="0" w:color="auto"/>
        <w:bottom w:val="none" w:sz="0" w:space="0" w:color="auto"/>
        <w:right w:val="none" w:sz="0" w:space="0" w:color="auto"/>
      </w:divBdr>
    </w:div>
    <w:div w:id="156850657">
      <w:bodyDiv w:val="1"/>
      <w:marLeft w:val="0"/>
      <w:marRight w:val="0"/>
      <w:marTop w:val="0"/>
      <w:marBottom w:val="0"/>
      <w:divBdr>
        <w:top w:val="none" w:sz="0" w:space="0" w:color="auto"/>
        <w:left w:val="none" w:sz="0" w:space="0" w:color="auto"/>
        <w:bottom w:val="none" w:sz="0" w:space="0" w:color="auto"/>
        <w:right w:val="none" w:sz="0" w:space="0" w:color="auto"/>
      </w:divBdr>
    </w:div>
    <w:div w:id="305744148">
      <w:bodyDiv w:val="1"/>
      <w:marLeft w:val="0"/>
      <w:marRight w:val="0"/>
      <w:marTop w:val="0"/>
      <w:marBottom w:val="0"/>
      <w:divBdr>
        <w:top w:val="none" w:sz="0" w:space="0" w:color="auto"/>
        <w:left w:val="none" w:sz="0" w:space="0" w:color="auto"/>
        <w:bottom w:val="none" w:sz="0" w:space="0" w:color="auto"/>
        <w:right w:val="none" w:sz="0" w:space="0" w:color="auto"/>
      </w:divBdr>
    </w:div>
    <w:div w:id="389693119">
      <w:bodyDiv w:val="1"/>
      <w:marLeft w:val="0"/>
      <w:marRight w:val="0"/>
      <w:marTop w:val="0"/>
      <w:marBottom w:val="0"/>
      <w:divBdr>
        <w:top w:val="none" w:sz="0" w:space="0" w:color="auto"/>
        <w:left w:val="none" w:sz="0" w:space="0" w:color="auto"/>
        <w:bottom w:val="none" w:sz="0" w:space="0" w:color="auto"/>
        <w:right w:val="none" w:sz="0" w:space="0" w:color="auto"/>
      </w:divBdr>
    </w:div>
    <w:div w:id="411004075">
      <w:bodyDiv w:val="1"/>
      <w:marLeft w:val="0"/>
      <w:marRight w:val="0"/>
      <w:marTop w:val="0"/>
      <w:marBottom w:val="0"/>
      <w:divBdr>
        <w:top w:val="none" w:sz="0" w:space="0" w:color="auto"/>
        <w:left w:val="none" w:sz="0" w:space="0" w:color="auto"/>
        <w:bottom w:val="none" w:sz="0" w:space="0" w:color="auto"/>
        <w:right w:val="none" w:sz="0" w:space="0" w:color="auto"/>
      </w:divBdr>
    </w:div>
    <w:div w:id="419066552">
      <w:bodyDiv w:val="1"/>
      <w:marLeft w:val="0"/>
      <w:marRight w:val="0"/>
      <w:marTop w:val="0"/>
      <w:marBottom w:val="0"/>
      <w:divBdr>
        <w:top w:val="none" w:sz="0" w:space="0" w:color="auto"/>
        <w:left w:val="none" w:sz="0" w:space="0" w:color="auto"/>
        <w:bottom w:val="none" w:sz="0" w:space="0" w:color="auto"/>
        <w:right w:val="none" w:sz="0" w:space="0" w:color="auto"/>
      </w:divBdr>
    </w:div>
    <w:div w:id="482695952">
      <w:bodyDiv w:val="1"/>
      <w:marLeft w:val="0"/>
      <w:marRight w:val="0"/>
      <w:marTop w:val="0"/>
      <w:marBottom w:val="0"/>
      <w:divBdr>
        <w:top w:val="none" w:sz="0" w:space="0" w:color="auto"/>
        <w:left w:val="none" w:sz="0" w:space="0" w:color="auto"/>
        <w:bottom w:val="none" w:sz="0" w:space="0" w:color="auto"/>
        <w:right w:val="none" w:sz="0" w:space="0" w:color="auto"/>
      </w:divBdr>
    </w:div>
    <w:div w:id="488714898">
      <w:bodyDiv w:val="1"/>
      <w:marLeft w:val="0"/>
      <w:marRight w:val="0"/>
      <w:marTop w:val="0"/>
      <w:marBottom w:val="0"/>
      <w:divBdr>
        <w:top w:val="none" w:sz="0" w:space="0" w:color="auto"/>
        <w:left w:val="none" w:sz="0" w:space="0" w:color="auto"/>
        <w:bottom w:val="none" w:sz="0" w:space="0" w:color="auto"/>
        <w:right w:val="none" w:sz="0" w:space="0" w:color="auto"/>
      </w:divBdr>
    </w:div>
    <w:div w:id="573516258">
      <w:bodyDiv w:val="1"/>
      <w:marLeft w:val="0"/>
      <w:marRight w:val="0"/>
      <w:marTop w:val="0"/>
      <w:marBottom w:val="0"/>
      <w:divBdr>
        <w:top w:val="none" w:sz="0" w:space="0" w:color="auto"/>
        <w:left w:val="none" w:sz="0" w:space="0" w:color="auto"/>
        <w:bottom w:val="none" w:sz="0" w:space="0" w:color="auto"/>
        <w:right w:val="none" w:sz="0" w:space="0" w:color="auto"/>
      </w:divBdr>
    </w:div>
    <w:div w:id="713849161">
      <w:bodyDiv w:val="1"/>
      <w:marLeft w:val="0"/>
      <w:marRight w:val="0"/>
      <w:marTop w:val="0"/>
      <w:marBottom w:val="0"/>
      <w:divBdr>
        <w:top w:val="none" w:sz="0" w:space="0" w:color="auto"/>
        <w:left w:val="none" w:sz="0" w:space="0" w:color="auto"/>
        <w:bottom w:val="none" w:sz="0" w:space="0" w:color="auto"/>
        <w:right w:val="none" w:sz="0" w:space="0" w:color="auto"/>
      </w:divBdr>
    </w:div>
    <w:div w:id="715855613">
      <w:bodyDiv w:val="1"/>
      <w:marLeft w:val="0"/>
      <w:marRight w:val="0"/>
      <w:marTop w:val="0"/>
      <w:marBottom w:val="0"/>
      <w:divBdr>
        <w:top w:val="none" w:sz="0" w:space="0" w:color="auto"/>
        <w:left w:val="none" w:sz="0" w:space="0" w:color="auto"/>
        <w:bottom w:val="none" w:sz="0" w:space="0" w:color="auto"/>
        <w:right w:val="none" w:sz="0" w:space="0" w:color="auto"/>
      </w:divBdr>
    </w:div>
    <w:div w:id="844905006">
      <w:bodyDiv w:val="1"/>
      <w:marLeft w:val="0"/>
      <w:marRight w:val="0"/>
      <w:marTop w:val="0"/>
      <w:marBottom w:val="0"/>
      <w:divBdr>
        <w:top w:val="none" w:sz="0" w:space="0" w:color="auto"/>
        <w:left w:val="none" w:sz="0" w:space="0" w:color="auto"/>
        <w:bottom w:val="none" w:sz="0" w:space="0" w:color="auto"/>
        <w:right w:val="none" w:sz="0" w:space="0" w:color="auto"/>
      </w:divBdr>
    </w:div>
    <w:div w:id="865095828">
      <w:bodyDiv w:val="1"/>
      <w:marLeft w:val="0"/>
      <w:marRight w:val="0"/>
      <w:marTop w:val="0"/>
      <w:marBottom w:val="0"/>
      <w:divBdr>
        <w:top w:val="none" w:sz="0" w:space="0" w:color="auto"/>
        <w:left w:val="none" w:sz="0" w:space="0" w:color="auto"/>
        <w:bottom w:val="none" w:sz="0" w:space="0" w:color="auto"/>
        <w:right w:val="none" w:sz="0" w:space="0" w:color="auto"/>
      </w:divBdr>
    </w:div>
    <w:div w:id="928611978">
      <w:bodyDiv w:val="1"/>
      <w:marLeft w:val="0"/>
      <w:marRight w:val="0"/>
      <w:marTop w:val="0"/>
      <w:marBottom w:val="0"/>
      <w:divBdr>
        <w:top w:val="none" w:sz="0" w:space="0" w:color="auto"/>
        <w:left w:val="none" w:sz="0" w:space="0" w:color="auto"/>
        <w:bottom w:val="none" w:sz="0" w:space="0" w:color="auto"/>
        <w:right w:val="none" w:sz="0" w:space="0" w:color="auto"/>
      </w:divBdr>
    </w:div>
    <w:div w:id="962154883">
      <w:bodyDiv w:val="1"/>
      <w:marLeft w:val="0"/>
      <w:marRight w:val="0"/>
      <w:marTop w:val="0"/>
      <w:marBottom w:val="0"/>
      <w:divBdr>
        <w:top w:val="none" w:sz="0" w:space="0" w:color="auto"/>
        <w:left w:val="none" w:sz="0" w:space="0" w:color="auto"/>
        <w:bottom w:val="none" w:sz="0" w:space="0" w:color="auto"/>
        <w:right w:val="none" w:sz="0" w:space="0" w:color="auto"/>
      </w:divBdr>
    </w:div>
    <w:div w:id="983971275">
      <w:bodyDiv w:val="1"/>
      <w:marLeft w:val="0"/>
      <w:marRight w:val="0"/>
      <w:marTop w:val="0"/>
      <w:marBottom w:val="0"/>
      <w:divBdr>
        <w:top w:val="none" w:sz="0" w:space="0" w:color="auto"/>
        <w:left w:val="none" w:sz="0" w:space="0" w:color="auto"/>
        <w:bottom w:val="none" w:sz="0" w:space="0" w:color="auto"/>
        <w:right w:val="none" w:sz="0" w:space="0" w:color="auto"/>
      </w:divBdr>
    </w:div>
    <w:div w:id="991178179">
      <w:bodyDiv w:val="1"/>
      <w:marLeft w:val="0"/>
      <w:marRight w:val="0"/>
      <w:marTop w:val="0"/>
      <w:marBottom w:val="0"/>
      <w:divBdr>
        <w:top w:val="none" w:sz="0" w:space="0" w:color="auto"/>
        <w:left w:val="none" w:sz="0" w:space="0" w:color="auto"/>
        <w:bottom w:val="none" w:sz="0" w:space="0" w:color="auto"/>
        <w:right w:val="none" w:sz="0" w:space="0" w:color="auto"/>
      </w:divBdr>
    </w:div>
    <w:div w:id="1259484607">
      <w:bodyDiv w:val="1"/>
      <w:marLeft w:val="0"/>
      <w:marRight w:val="0"/>
      <w:marTop w:val="0"/>
      <w:marBottom w:val="0"/>
      <w:divBdr>
        <w:top w:val="none" w:sz="0" w:space="0" w:color="auto"/>
        <w:left w:val="none" w:sz="0" w:space="0" w:color="auto"/>
        <w:bottom w:val="none" w:sz="0" w:space="0" w:color="auto"/>
        <w:right w:val="none" w:sz="0" w:space="0" w:color="auto"/>
      </w:divBdr>
    </w:div>
    <w:div w:id="1273706520">
      <w:bodyDiv w:val="1"/>
      <w:marLeft w:val="0"/>
      <w:marRight w:val="0"/>
      <w:marTop w:val="0"/>
      <w:marBottom w:val="0"/>
      <w:divBdr>
        <w:top w:val="none" w:sz="0" w:space="0" w:color="auto"/>
        <w:left w:val="none" w:sz="0" w:space="0" w:color="auto"/>
        <w:bottom w:val="none" w:sz="0" w:space="0" w:color="auto"/>
        <w:right w:val="none" w:sz="0" w:space="0" w:color="auto"/>
      </w:divBdr>
    </w:div>
    <w:div w:id="1288196216">
      <w:bodyDiv w:val="1"/>
      <w:marLeft w:val="0"/>
      <w:marRight w:val="0"/>
      <w:marTop w:val="0"/>
      <w:marBottom w:val="0"/>
      <w:divBdr>
        <w:top w:val="none" w:sz="0" w:space="0" w:color="auto"/>
        <w:left w:val="none" w:sz="0" w:space="0" w:color="auto"/>
        <w:bottom w:val="none" w:sz="0" w:space="0" w:color="auto"/>
        <w:right w:val="none" w:sz="0" w:space="0" w:color="auto"/>
      </w:divBdr>
    </w:div>
    <w:div w:id="1428498298">
      <w:bodyDiv w:val="1"/>
      <w:marLeft w:val="0"/>
      <w:marRight w:val="0"/>
      <w:marTop w:val="0"/>
      <w:marBottom w:val="0"/>
      <w:divBdr>
        <w:top w:val="none" w:sz="0" w:space="0" w:color="auto"/>
        <w:left w:val="none" w:sz="0" w:space="0" w:color="auto"/>
        <w:bottom w:val="none" w:sz="0" w:space="0" w:color="auto"/>
        <w:right w:val="none" w:sz="0" w:space="0" w:color="auto"/>
      </w:divBdr>
    </w:div>
    <w:div w:id="1492672989">
      <w:bodyDiv w:val="1"/>
      <w:marLeft w:val="0"/>
      <w:marRight w:val="0"/>
      <w:marTop w:val="0"/>
      <w:marBottom w:val="0"/>
      <w:divBdr>
        <w:top w:val="none" w:sz="0" w:space="0" w:color="auto"/>
        <w:left w:val="none" w:sz="0" w:space="0" w:color="auto"/>
        <w:bottom w:val="none" w:sz="0" w:space="0" w:color="auto"/>
        <w:right w:val="none" w:sz="0" w:space="0" w:color="auto"/>
      </w:divBdr>
    </w:div>
    <w:div w:id="1620603674">
      <w:bodyDiv w:val="1"/>
      <w:marLeft w:val="0"/>
      <w:marRight w:val="0"/>
      <w:marTop w:val="0"/>
      <w:marBottom w:val="0"/>
      <w:divBdr>
        <w:top w:val="none" w:sz="0" w:space="0" w:color="auto"/>
        <w:left w:val="none" w:sz="0" w:space="0" w:color="auto"/>
        <w:bottom w:val="none" w:sz="0" w:space="0" w:color="auto"/>
        <w:right w:val="none" w:sz="0" w:space="0" w:color="auto"/>
      </w:divBdr>
    </w:div>
    <w:div w:id="1867595504">
      <w:bodyDiv w:val="1"/>
      <w:marLeft w:val="0"/>
      <w:marRight w:val="0"/>
      <w:marTop w:val="0"/>
      <w:marBottom w:val="0"/>
      <w:divBdr>
        <w:top w:val="none" w:sz="0" w:space="0" w:color="auto"/>
        <w:left w:val="none" w:sz="0" w:space="0" w:color="auto"/>
        <w:bottom w:val="none" w:sz="0" w:space="0" w:color="auto"/>
        <w:right w:val="none" w:sz="0" w:space="0" w:color="auto"/>
      </w:divBdr>
    </w:div>
    <w:div w:id="2014988992">
      <w:bodyDiv w:val="1"/>
      <w:marLeft w:val="0"/>
      <w:marRight w:val="0"/>
      <w:marTop w:val="0"/>
      <w:marBottom w:val="0"/>
      <w:divBdr>
        <w:top w:val="none" w:sz="0" w:space="0" w:color="auto"/>
        <w:left w:val="none" w:sz="0" w:space="0" w:color="auto"/>
        <w:bottom w:val="none" w:sz="0" w:space="0" w:color="auto"/>
        <w:right w:val="none" w:sz="0" w:space="0" w:color="auto"/>
      </w:divBdr>
    </w:div>
    <w:div w:id="2047438095">
      <w:bodyDiv w:val="1"/>
      <w:marLeft w:val="0"/>
      <w:marRight w:val="0"/>
      <w:marTop w:val="0"/>
      <w:marBottom w:val="0"/>
      <w:divBdr>
        <w:top w:val="none" w:sz="0" w:space="0" w:color="auto"/>
        <w:left w:val="none" w:sz="0" w:space="0" w:color="auto"/>
        <w:bottom w:val="none" w:sz="0" w:space="0" w:color="auto"/>
        <w:right w:val="none" w:sz="0" w:space="0" w:color="auto"/>
      </w:divBdr>
    </w:div>
    <w:div w:id="2081175092">
      <w:bodyDiv w:val="1"/>
      <w:marLeft w:val="0"/>
      <w:marRight w:val="0"/>
      <w:marTop w:val="0"/>
      <w:marBottom w:val="0"/>
      <w:divBdr>
        <w:top w:val="none" w:sz="0" w:space="0" w:color="auto"/>
        <w:left w:val="none" w:sz="0" w:space="0" w:color="auto"/>
        <w:bottom w:val="none" w:sz="0" w:space="0" w:color="auto"/>
        <w:right w:val="none" w:sz="0" w:space="0" w:color="auto"/>
      </w:divBdr>
    </w:div>
    <w:div w:id="209376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1461</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Navale, SanjayKumar</dc:creator>
  <cp:lastModifiedBy>Prithwijit.Kundu</cp:lastModifiedBy>
  <cp:revision>7</cp:revision>
  <cp:lastPrinted>2017-02-20T05:26:00Z</cp:lastPrinted>
  <dcterms:created xsi:type="dcterms:W3CDTF">2017-02-07T06:32:00Z</dcterms:created>
  <dcterms:modified xsi:type="dcterms:W3CDTF">2017-02-20T07:57:00Z</dcterms:modified>
</cp:coreProperties>
</file>