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3260"/>
        <w:gridCol w:w="3544"/>
      </w:tblGrid>
      <w:tr w:rsidR="003E11E5" w:rsidRPr="005C0E00" w14:paraId="538A1021" w14:textId="77777777" w:rsidTr="00282439">
        <w:trPr>
          <w:trHeight w:val="1160"/>
        </w:trPr>
        <w:tc>
          <w:tcPr>
            <w:tcW w:w="2802" w:type="dxa"/>
            <w:tcBorders>
              <w:left w:val="dotted" w:sz="4" w:space="0" w:color="auto"/>
            </w:tcBorders>
            <w:vAlign w:val="center"/>
          </w:tcPr>
          <w:p w14:paraId="51E557DF" w14:textId="421BDD72" w:rsidR="003E11E5" w:rsidRPr="005C0E00" w:rsidRDefault="003E11E5" w:rsidP="00282439">
            <w:pPr>
              <w:pStyle w:val="Header"/>
              <w:jc w:val="center"/>
              <w:rPr>
                <w:b/>
                <w:color w:val="000000"/>
              </w:rPr>
            </w:pPr>
            <w:r w:rsidRPr="003E11E5">
              <w:rPr>
                <w:b/>
                <w:color w:val="000000"/>
              </w:rPr>
              <w:drawing>
                <wp:inline distT="0" distB="0" distL="0" distR="0" wp14:anchorId="420B424B" wp14:editId="44FB15F5">
                  <wp:extent cx="1390844" cy="647790"/>
                  <wp:effectExtent l="0" t="0" r="0" b="0"/>
                  <wp:docPr id="1783383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3834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Align w:val="center"/>
          </w:tcPr>
          <w:p w14:paraId="6668E1CC" w14:textId="77777777" w:rsidR="003E11E5" w:rsidRPr="005C0E00" w:rsidRDefault="003E11E5" w:rsidP="00282439">
            <w:pPr>
              <w:pStyle w:val="Header"/>
              <w:rPr>
                <w:rFonts w:cs="Times New Roman"/>
                <w:szCs w:val="24"/>
              </w:rPr>
            </w:pPr>
          </w:p>
        </w:tc>
        <w:tc>
          <w:tcPr>
            <w:tcW w:w="3544" w:type="dxa"/>
            <w:vAlign w:val="center"/>
          </w:tcPr>
          <w:p>
            <w:r>
              <w:t>SOP. No.: Auro_MM_07</w:t>
              <w:br/>
              <w:t>Version No.: 1</w:t>
            </w:r>
          </w:p>
        </w:tc>
      </w:tr>
      <w:tr w:rsidR="003E11E5" w:rsidRPr="005C0E00" w14:paraId="1436604B" w14:textId="77777777" w:rsidTr="00282439">
        <w:trPr>
          <w:trHeight w:val="323"/>
        </w:trPr>
        <w:tc>
          <w:tcPr>
            <w:tcW w:w="2802" w:type="dxa"/>
            <w:vMerge w:val="restart"/>
            <w:tcBorders>
              <w:left w:val="dotted" w:sz="4" w:space="0" w:color="auto"/>
            </w:tcBorders>
            <w:vAlign w:val="center"/>
          </w:tcPr>
          <w:p>
            <w:r>
              <w:t>Confidential</w:t>
            </w:r>
          </w:p>
        </w:tc>
        <w:tc>
          <w:tcPr>
            <w:tcW w:w="3260" w:type="dxa"/>
            <w:vAlign w:val="center"/>
          </w:tcPr>
          <w:p>
            <w:r>
              <w:t xml:space="preserve">Effective Date: </w:t>
            </w:r>
          </w:p>
        </w:tc>
        <w:tc>
          <w:tcPr>
            <w:tcW w:w="3544" w:type="dxa"/>
            <w:vAlign w:val="center"/>
          </w:tcPr>
          <w:p>
            <w:r>
              <w:t xml:space="preserve">Supersedes: None </w:t>
            </w:r>
          </w:p>
        </w:tc>
      </w:tr>
      <w:tr w:rsidR="003E11E5" w:rsidRPr="005C0E00" w14:paraId="24CA136A" w14:textId="77777777" w:rsidTr="00282439">
        <w:trPr>
          <w:trHeight w:val="323"/>
        </w:trPr>
        <w:tc>
          <w:tcPr>
            <w:tcW w:w="2802" w:type="dxa"/>
            <w:vMerge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0518D346" w14:textId="77777777" w:rsidR="003E11E5" w:rsidRPr="005C0E00" w:rsidRDefault="003E11E5" w:rsidP="00282439">
            <w:pPr>
              <w:pStyle w:val="Header"/>
              <w:spacing w:before="40" w:after="40"/>
              <w:jc w:val="center"/>
            </w:pPr>
          </w:p>
        </w:tc>
        <w:tc>
          <w:tcPr>
            <w:tcW w:w="6804" w:type="dxa"/>
            <w:gridSpan w:val="2"/>
            <w:tcBorders>
              <w:bottom w:val="dotted" w:sz="4" w:space="0" w:color="auto"/>
            </w:tcBorders>
            <w:vAlign w:val="center"/>
          </w:tcPr>
          <w:p>
            <w:r>
              <w:t xml:space="preserve">Review Date:  </w:t>
            </w:r>
          </w:p>
        </w:tc>
      </w:tr>
      <w:tr w:rsidR="003E11E5" w:rsidRPr="005C0E00" w14:paraId="728DBF47" w14:textId="77777777" w:rsidTr="00282439">
        <w:trPr>
          <w:trHeight w:val="323"/>
        </w:trPr>
        <w:tc>
          <w:tcPr>
            <w:tcW w:w="9606" w:type="dxa"/>
            <w:gridSpan w:val="3"/>
            <w:vAlign w:val="center"/>
          </w:tcPr>
          <w:p>
            <w:r>
              <w:t>SOP Title: Preparation of Product Appraisal</w:t>
            </w:r>
          </w:p>
        </w:tc>
      </w:tr>
    </w:tbl>
    <w:p w14:paraId="4A2393AE" w14:textId="77777777" w:rsidR="003E11E5" w:rsidRDefault="003E11E5"/>
    <w:tbl>
      <w:tblPr>
        <w:tblpPr w:leftFromText="180" w:rightFromText="180" w:vertAnchor="text" w:horzAnchor="margin" w:tblpY="28"/>
        <w:tblW w:w="5418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727"/>
        <w:gridCol w:w="1952"/>
        <w:gridCol w:w="2083"/>
        <w:gridCol w:w="3589"/>
      </w:tblGrid>
      <w:tr w:rsidR="003E11E5" w:rsidRPr="007C0D5B" w14:paraId="6D1EFC5C" w14:textId="77777777" w:rsidTr="003E11E5">
        <w:trPr>
          <w:trHeight w:val="345"/>
        </w:trPr>
        <w:tc>
          <w:tcPr>
            <w:tcW w:w="9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2232F3" w14:textId="77777777" w:rsidR="003E11E5" w:rsidRPr="00BF1018" w:rsidRDefault="003E11E5" w:rsidP="00282439">
            <w:pPr>
              <w:pStyle w:val="NoSpacing"/>
              <w:rPr>
                <w:b/>
              </w:rPr>
            </w:pPr>
          </w:p>
        </w:tc>
        <w:tc>
          <w:tcPr>
            <w:tcW w:w="104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t>Prepared By</w:t>
            </w:r>
          </w:p>
        </w:tc>
        <w:tc>
          <w:tcPr>
            <w:tcW w:w="11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t>Reviewed  By</w:t>
            </w:r>
          </w:p>
        </w:tc>
        <w:tc>
          <w:tcPr>
            <w:tcW w:w="192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t>Approved By</w:t>
            </w:r>
          </w:p>
        </w:tc>
      </w:tr>
      <w:tr w:rsidR="003E11E5" w:rsidRPr="007C0D5B" w14:paraId="021D1B30" w14:textId="77777777" w:rsidTr="003E11E5">
        <w:trPr>
          <w:trHeight w:val="222"/>
        </w:trPr>
        <w:tc>
          <w:tcPr>
            <w:tcW w:w="9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t xml:space="preserve">Name </w:t>
            </w:r>
          </w:p>
        </w:tc>
        <w:tc>
          <w:tcPr>
            <w:tcW w:w="104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6F4B64" w14:textId="77777777" w:rsidR="003E11E5" w:rsidRPr="00BF1018" w:rsidRDefault="003E11E5" w:rsidP="00282439">
            <w:pPr>
              <w:pStyle w:val="NoSpacing"/>
              <w:rPr>
                <w:b/>
                <w:bCs/>
              </w:rPr>
            </w:pPr>
          </w:p>
        </w:tc>
        <w:tc>
          <w:tcPr>
            <w:tcW w:w="11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4AC292C" w14:textId="77777777" w:rsidR="003E11E5" w:rsidRPr="00BF1018" w:rsidRDefault="003E11E5" w:rsidP="00282439">
            <w:pPr>
              <w:pStyle w:val="NoSpacing"/>
              <w:rPr>
                <w:b/>
                <w:bCs/>
              </w:rPr>
            </w:pPr>
          </w:p>
        </w:tc>
        <w:tc>
          <w:tcPr>
            <w:tcW w:w="192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BB461E9" w14:textId="77777777" w:rsidR="003E11E5" w:rsidRPr="00BF1018" w:rsidRDefault="003E11E5" w:rsidP="00282439">
            <w:pPr>
              <w:pStyle w:val="NoSpacing"/>
              <w:rPr>
                <w:b/>
                <w:bCs/>
              </w:rPr>
            </w:pPr>
          </w:p>
        </w:tc>
      </w:tr>
      <w:tr w:rsidR="003E11E5" w:rsidRPr="007C0D5B" w14:paraId="6A4BB4E1" w14:textId="77777777" w:rsidTr="003E11E5">
        <w:trPr>
          <w:trHeight w:val="301"/>
        </w:trPr>
        <w:tc>
          <w:tcPr>
            <w:tcW w:w="9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t>Designation</w:t>
            </w:r>
          </w:p>
        </w:tc>
        <w:tc>
          <w:tcPr>
            <w:tcW w:w="104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094E37A" w14:textId="77777777" w:rsidR="003E11E5" w:rsidRPr="00BF1018" w:rsidRDefault="003E11E5" w:rsidP="00282439">
            <w:pPr>
              <w:pStyle w:val="NoSpacing"/>
              <w:rPr>
                <w:b/>
              </w:rPr>
            </w:pPr>
          </w:p>
        </w:tc>
        <w:tc>
          <w:tcPr>
            <w:tcW w:w="11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AE7835B" w14:textId="77777777" w:rsidR="003E11E5" w:rsidRPr="00BF1018" w:rsidRDefault="003E11E5" w:rsidP="00282439">
            <w:pPr>
              <w:pStyle w:val="NoSpacing"/>
              <w:rPr>
                <w:b/>
              </w:rPr>
            </w:pPr>
          </w:p>
        </w:tc>
        <w:tc>
          <w:tcPr>
            <w:tcW w:w="192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EA71132" w14:textId="77777777" w:rsidR="003E11E5" w:rsidRPr="00BF1018" w:rsidRDefault="003E11E5" w:rsidP="00282439">
            <w:pPr>
              <w:pStyle w:val="NoSpacing"/>
              <w:rPr>
                <w:b/>
                <w:bCs/>
              </w:rPr>
            </w:pPr>
          </w:p>
        </w:tc>
      </w:tr>
      <w:tr w:rsidR="003E11E5" w:rsidRPr="007C0D5B" w14:paraId="03B056AB" w14:textId="77777777" w:rsidTr="003E11E5">
        <w:trPr>
          <w:trHeight w:val="442"/>
        </w:trPr>
        <w:tc>
          <w:tcPr>
            <w:tcW w:w="9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t>Sign &amp; date</w:t>
            </w:r>
          </w:p>
        </w:tc>
        <w:tc>
          <w:tcPr>
            <w:tcW w:w="104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D8C78A" w14:textId="77777777" w:rsidR="003E11E5" w:rsidRPr="00BF1018" w:rsidRDefault="003E11E5" w:rsidP="00282439">
            <w:pPr>
              <w:pStyle w:val="NoSpacing"/>
              <w:rPr>
                <w:b/>
              </w:rPr>
            </w:pPr>
          </w:p>
        </w:tc>
        <w:tc>
          <w:tcPr>
            <w:tcW w:w="11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6BA21F" w14:textId="77777777" w:rsidR="003E11E5" w:rsidRPr="00BF1018" w:rsidRDefault="003E11E5" w:rsidP="00282439">
            <w:pPr>
              <w:pStyle w:val="NoSpacing"/>
              <w:rPr>
                <w:b/>
              </w:rPr>
            </w:pPr>
          </w:p>
        </w:tc>
        <w:tc>
          <w:tcPr>
            <w:tcW w:w="192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374074" w14:textId="77777777" w:rsidR="003E11E5" w:rsidRPr="00BF1018" w:rsidRDefault="003E11E5" w:rsidP="00282439">
            <w:pPr>
              <w:pStyle w:val="NoSpacing"/>
              <w:rPr>
                <w:b/>
                <w:bCs/>
              </w:rPr>
            </w:pPr>
          </w:p>
        </w:tc>
      </w:tr>
    </w:tbl>
    <w:p w14:paraId="75BCDAC8" w14:textId="77777777" w:rsidR="003E11E5" w:rsidRDefault="003E11E5">
      <w:pPr>
        <w:pStyle w:val="Title"/>
      </w:pPr>
    </w:p>
    <w:p w14:paraId="6CF58A86" w14:textId="54810C2C" w:rsidR="00F7165B" w:rsidRDefault="00D50C9D">
      <w:pPr>
        <w:pStyle w:val="Title"/>
      </w:pPr>
      <w:r>
        <w:t>Standard Operating Procedure (SOP) – Preparation of Product Appraisal</w:t>
      </w:r>
    </w:p>
    <w:p w14:paraId="22D021E7" w14:textId="77777777" w:rsidR="00F7165B" w:rsidRDefault="00D50C9D">
      <w:pPr>
        <w:pStyle w:val="Heading1"/>
      </w:pPr>
      <w:r>
        <w:t>1. PURPOSE</w:t>
      </w:r>
    </w:p>
    <w:p w14:paraId="25B17210" w14:textId="77777777" w:rsidR="00F7165B" w:rsidRDefault="00D50C9D">
      <w:r>
        <w:t>Define the standardized process for preparing a comprehensive, evidence-based, decision-oriented Product Appraisal for medicinal products to support Go/No-Go decisions.</w:t>
      </w:r>
    </w:p>
    <w:p w14:paraId="23718CCE" w14:textId="77777777" w:rsidR="00F7165B" w:rsidRDefault="00D50C9D">
      <w:pPr>
        <w:pStyle w:val="Heading1"/>
      </w:pPr>
      <w:r>
        <w:t>2. SCOPE</w:t>
      </w:r>
    </w:p>
    <w:p w14:paraId="56338F21" w14:textId="77777777" w:rsidR="00F7165B" w:rsidRDefault="00D50C9D">
      <w:r>
        <w:t>Applicable to all personnel involved in creation, review, approval, and updating of Product Appraisals.</w:t>
      </w:r>
    </w:p>
    <w:p w14:paraId="1306CC18" w14:textId="77777777" w:rsidR="00F7165B" w:rsidRDefault="00D50C9D">
      <w:pPr>
        <w:pStyle w:val="Heading1"/>
      </w:pPr>
      <w:r>
        <w:t>3. RESPONSIBILITY</w:t>
      </w:r>
    </w:p>
    <w:p w14:paraId="06D065CD" w14:textId="77777777" w:rsidR="00F7165B" w:rsidRDefault="00D50C9D">
      <w:r>
        <w:t>- Author drafts and updates appraisal.</w:t>
        <w:br/>
        <w:t>- Medical Director reviews and approves.</w:t>
        <w:br/>
        <w:t>- PMT uses for decision-making.</w:t>
        <w:br/>
        <w:t>- QA maintains controlled copies.</w:t>
        <w:br/>
        <w:t>- Cross-functional teams provide updated data.</w:t>
      </w:r>
    </w:p>
    <w:p w14:paraId="03DE1BFA" w14:textId="77777777" w:rsidR="00F7165B" w:rsidRDefault="00D50C9D">
      <w:pPr>
        <w:pStyle w:val="Heading1"/>
      </w:pPr>
      <w:r>
        <w:t>4. POLICY</w:t>
      </w:r>
    </w:p>
    <w:p w14:paraId="7AE409A1" w14:textId="77777777" w:rsidR="00F7165B" w:rsidRDefault="00D50C9D">
      <w:r>
        <w:t>All appraisals must be evidence-based, referenced, updated, and aligned with regulatory and medico-marketing standards.</w:t>
      </w:r>
    </w:p>
    <w:p w14:paraId="19524E17" w14:textId="77777777" w:rsidR="00F7165B" w:rsidRDefault="00D50C9D">
      <w:pPr>
        <w:pStyle w:val="Heading1"/>
      </w:pPr>
      <w:r>
        <w:t>5. GENERAL PRINCIPLES</w:t>
      </w:r>
    </w:p>
    <w:p w14:paraId="058A91B7" w14:textId="77777777" w:rsidR="00F7165B" w:rsidRDefault="00D50C9D">
      <w:r>
        <w:t>Appraisal must determine whether the product offers clinically meaningful, economically viable, and strategically differentiated value.</w:t>
      </w:r>
    </w:p>
    <w:p w14:paraId="3004C64A" w14:textId="77777777" w:rsidR="00F7165B" w:rsidRDefault="00D50C9D">
      <w:pPr>
        <w:pStyle w:val="Heading2"/>
      </w:pPr>
      <w:r>
        <w:t>6. PROCEDURE</w:t>
      </w:r>
    </w:p>
    <w:p w14:paraId="4237D030" w14:textId="77777777" w:rsidR="00F7165B" w:rsidRDefault="00F7165B"/>
    <w:p w14:paraId="723A89F7" w14:textId="77777777" w:rsidR="00F7165B" w:rsidRDefault="00D50C9D">
      <w:pPr>
        <w:pStyle w:val="Heading2"/>
      </w:pPr>
      <w:r>
        <w:t>6.1 Title Page</w:t>
      </w:r>
    </w:p>
    <w:p w14:paraId="4ACBC257" w14:textId="77777777" w:rsidR="00F7165B" w:rsidRDefault="00D50C9D">
      <w:r>
        <w:t>Include document title, drug name, strength, route, classification, company details, dates.</w:t>
      </w:r>
    </w:p>
    <w:p w14:paraId="05EB55F5" w14:textId="77777777" w:rsidR="00F7165B" w:rsidRDefault="00D50C9D">
      <w:pPr>
        <w:pStyle w:val="Heading2"/>
      </w:pPr>
      <w:r>
        <w:t>6.2 Table of Contents</w:t>
      </w:r>
    </w:p>
    <w:p w14:paraId="304D3D05" w14:textId="77777777" w:rsidR="00F7165B" w:rsidRDefault="00D50C9D">
      <w:r>
        <w:t>Include page numbers.</w:t>
      </w:r>
    </w:p>
    <w:p w14:paraId="1E2AB851" w14:textId="77777777" w:rsidR="00F7165B" w:rsidRDefault="00D50C9D">
      <w:pPr>
        <w:pStyle w:val="Heading2"/>
      </w:pPr>
      <w:r>
        <w:t>6.3 Summary Product Appraisal</w:t>
      </w:r>
    </w:p>
    <w:p w14:paraId="67EDCA8C" w14:textId="77777777" w:rsidR="00F7165B" w:rsidRDefault="00D50C9D">
      <w:r>
        <w:t>Provide executive summary, key insights, Go/No-Go recommendation, place in therapy.</w:t>
      </w:r>
    </w:p>
    <w:p w14:paraId="288055DF" w14:textId="77777777" w:rsidR="00F7165B" w:rsidRDefault="00D50C9D">
      <w:pPr>
        <w:pStyle w:val="Heading2"/>
      </w:pPr>
      <w:r>
        <w:t>6.4 Introduction / Background</w:t>
      </w:r>
    </w:p>
    <w:p w14:paraId="5E6B0CE6" w14:textId="77777777" w:rsidR="00F7165B" w:rsidRDefault="00D50C9D">
      <w:r>
        <w:t>Describe problem statement, epidemiology, disease burden, management gaps, rationale.</w:t>
      </w:r>
    </w:p>
    <w:p w14:paraId="4BDAB8EF" w14:textId="77777777" w:rsidR="00F7165B" w:rsidRDefault="00D50C9D">
      <w:pPr>
        <w:pStyle w:val="Heading2"/>
      </w:pPr>
      <w:r>
        <w:t>6.5 Indian Epidemiology &amp; Unmet Need Deep Dive</w:t>
      </w:r>
    </w:p>
    <w:p w14:paraId="20F57973" w14:textId="77777777" w:rsidR="00F7165B" w:rsidRDefault="00D50C9D">
      <w:r>
        <w:t>Include national/state epidemiology, DALYs, patient journey, access gaps, unmet needs.</w:t>
      </w:r>
    </w:p>
    <w:p w14:paraId="0440F557" w14:textId="77777777" w:rsidR="00F7165B" w:rsidRDefault="00D50C9D">
      <w:pPr>
        <w:pStyle w:val="Heading2"/>
      </w:pPr>
      <w:r>
        <w:t>6.6 Scientific Information</w:t>
      </w:r>
    </w:p>
    <w:p w14:paraId="4B10C5CC" w14:textId="77777777" w:rsidR="00F7165B" w:rsidRDefault="00D50C9D">
      <w:r>
        <w:t>Pharmaceutical info, clinical pharmacology, PK/PD, indications, contraindications, dosage, interactions, warnings, ADRs.</w:t>
      </w:r>
    </w:p>
    <w:p w14:paraId="5D810FFB" w14:textId="77777777" w:rsidR="00F7165B" w:rsidRDefault="00D50C9D">
      <w:pPr>
        <w:pStyle w:val="Heading2"/>
      </w:pPr>
      <w:r>
        <w:t>6.7 Landmark Clinical Trials</w:t>
      </w:r>
    </w:p>
    <w:p w14:paraId="3B4EE71A" w14:textId="77777777" w:rsidR="00F7165B" w:rsidRDefault="00D50C9D">
      <w:r>
        <w:t>Include pivotal efficacy/safety trials, comparative studies, BA/BE studies.</w:t>
      </w:r>
    </w:p>
    <w:p w14:paraId="5D049EE5" w14:textId="77777777" w:rsidR="00F7165B" w:rsidRDefault="00D50C9D">
      <w:pPr>
        <w:pStyle w:val="Heading2"/>
      </w:pPr>
      <w:r>
        <w:t>6.8 Competitive Landscape &amp; Differentiation</w:t>
      </w:r>
    </w:p>
    <w:p w14:paraId="155097DA" w14:textId="77777777" w:rsidR="00F7165B" w:rsidRDefault="00D50C9D">
      <w:r>
        <w:t>Competitor analysis, differentiation matrix, pricing, market share, pipeline threats.</w:t>
      </w:r>
    </w:p>
    <w:p w14:paraId="4FDE45CF" w14:textId="77777777" w:rsidR="00F7165B" w:rsidRDefault="00D50C9D">
      <w:pPr>
        <w:pStyle w:val="Heading2"/>
      </w:pPr>
      <w:r>
        <w:t>6.9 Health Economics &amp; Cost-Effectiveness</w:t>
      </w:r>
    </w:p>
    <w:p w14:paraId="1D28F835" w14:textId="77777777" w:rsidR="00F7165B" w:rsidRDefault="00D50C9D">
      <w:r>
        <w:t>CEA, CUA, BIA, affordability index, hospitalization cost impact.</w:t>
      </w:r>
    </w:p>
    <w:p w14:paraId="47C6D335" w14:textId="77777777" w:rsidR="00F7165B" w:rsidRDefault="00D50C9D">
      <w:pPr>
        <w:pStyle w:val="Heading2"/>
      </w:pPr>
      <w:r>
        <w:t>6.10 Diagnostic &amp; Stewardship Integration Strategy</w:t>
      </w:r>
    </w:p>
    <w:p w14:paraId="31A17CCF" w14:textId="77777777" w:rsidR="00F7165B" w:rsidRDefault="00D50C9D">
      <w:r>
        <w:t>Diagnostics required, stewardship alignment, algorithms, resistance impact.</w:t>
      </w:r>
    </w:p>
    <w:p w14:paraId="1B3DE1E6" w14:textId="77777777" w:rsidR="00F7165B" w:rsidRDefault="00D50C9D">
      <w:pPr>
        <w:pStyle w:val="Heading2"/>
      </w:pPr>
      <w:r>
        <w:t>6.11 Risk Management &amp; Pharmacovigilance Plan</w:t>
      </w:r>
    </w:p>
    <w:p w14:paraId="30100015" w14:textId="77777777" w:rsidR="00F7165B" w:rsidRDefault="00D50C9D">
      <w:r>
        <w:t>Identified/potential risks, missing info, RMP, PV system, PMS plan.</w:t>
      </w:r>
    </w:p>
    <w:p w14:paraId="70E00310" w14:textId="77777777" w:rsidR="00F7165B" w:rsidRDefault="00D50C9D">
      <w:pPr>
        <w:pStyle w:val="Heading2"/>
      </w:pPr>
      <w:r>
        <w:t>6.12 Medical Education &amp; KOL Engagement Plan</w:t>
      </w:r>
    </w:p>
    <w:p w14:paraId="5CE26A0E" w14:textId="77777777" w:rsidR="00F7165B" w:rsidRDefault="00D50C9D">
      <w:r>
        <w:t>KOL mapping, scientific narrative, advisory boards, CME, publications.</w:t>
      </w:r>
    </w:p>
    <w:p w14:paraId="750B94FE" w14:textId="77777777" w:rsidR="00F7165B" w:rsidRDefault="00D50C9D">
      <w:pPr>
        <w:pStyle w:val="Heading2"/>
      </w:pPr>
      <w:r>
        <w:t>6.13 Regulatory Feasibility &amp; Approval Pathway</w:t>
      </w:r>
    </w:p>
    <w:p w14:paraId="585FC26B" w14:textId="77777777" w:rsidR="00F7165B" w:rsidRDefault="00D50C9D">
      <w:r>
        <w:t>DCGI pathway, required studies, timelines, risks, precedent approvals.</w:t>
      </w:r>
    </w:p>
    <w:p w14:paraId="6CB25D4F" w14:textId="77777777" w:rsidR="00F7165B" w:rsidRDefault="00D50C9D">
      <w:pPr>
        <w:pStyle w:val="Heading2"/>
      </w:pPr>
      <w:r>
        <w:t>6.14 Manufacturing, CMC &amp; Supply Chain Readiness</w:t>
      </w:r>
    </w:p>
    <w:p w14:paraId="11B282C2" w14:textId="77777777" w:rsidR="00F7165B" w:rsidRDefault="00D50C9D">
      <w:r>
        <w:t>API source, CMC compliance, stability, scalability, COGS, supply chain risks.</w:t>
      </w:r>
    </w:p>
    <w:p w14:paraId="084F050D" w14:textId="77777777" w:rsidR="00F7165B" w:rsidRDefault="00D50C9D">
      <w:pPr>
        <w:pStyle w:val="Heading2"/>
      </w:pPr>
      <w:r>
        <w:t>6.15 Market Access &amp; Pricing Strategy</w:t>
      </w:r>
    </w:p>
    <w:p w14:paraId="5A817C84" w14:textId="77777777" w:rsidR="00F7165B" w:rsidRDefault="00D50C9D">
      <w:r>
        <w:t>Pricing corridor, reimbursement, tenders, formulary acceptance, PAPs.</w:t>
      </w:r>
    </w:p>
    <w:p w14:paraId="3492C805" w14:textId="77777777" w:rsidR="00F7165B" w:rsidRDefault="00D50C9D">
      <w:pPr>
        <w:pStyle w:val="Heading2"/>
      </w:pPr>
      <w:r>
        <w:t>6.16 Commercial Forecast &amp; Scenario Planning</w:t>
      </w:r>
    </w:p>
    <w:p w14:paraId="7E102927" w14:textId="77777777" w:rsidR="00F7165B" w:rsidRDefault="00D50C9D">
      <w:r>
        <w:t>3-scenario forecast, assumptions, sensitivity, break-even, ROI.</w:t>
      </w:r>
    </w:p>
    <w:p w14:paraId="4D07A5FE" w14:textId="77777777" w:rsidR="00F7165B" w:rsidRDefault="00D50C9D">
      <w:pPr>
        <w:pStyle w:val="Heading2"/>
      </w:pPr>
      <w:r>
        <w:t>6.17 Go/No-Go Decision Framework</w:t>
      </w:r>
    </w:p>
    <w:p w14:paraId="3977DF9C" w14:textId="77777777" w:rsidR="00F7165B" w:rsidRDefault="00D50C9D">
      <w:r>
        <w:t>Weighted scoring across clinical, regulatory, competitive, economic, operational, and risk domains.</w:t>
      </w:r>
    </w:p>
    <w:p w14:paraId="46CA3173" w14:textId="77777777" w:rsidR="00F7165B" w:rsidRDefault="00D50C9D">
      <w:pPr>
        <w:pStyle w:val="Heading2"/>
      </w:pPr>
      <w:r>
        <w:t>6.18 Standard Guidelines Supporting New Drug</w:t>
      </w:r>
    </w:p>
    <w:p w14:paraId="55D7D115" w14:textId="77777777" w:rsidR="00F7165B" w:rsidRDefault="00D50C9D">
      <w:r>
        <w:t>Include Indian and international guidelines.</w:t>
      </w:r>
    </w:p>
    <w:p w14:paraId="537CF755" w14:textId="77777777" w:rsidR="00F7165B" w:rsidRDefault="00D50C9D">
      <w:pPr>
        <w:pStyle w:val="Heading2"/>
      </w:pPr>
      <w:r>
        <w:t>6.19 International Approvals</w:t>
      </w:r>
    </w:p>
    <w:p w14:paraId="7C295683" w14:textId="77777777" w:rsidR="00F7165B" w:rsidRDefault="00D50C9D">
      <w:r>
        <w:t>USFDA, EMA, MHRA, PMDA, TGA status.</w:t>
      </w:r>
    </w:p>
    <w:p w14:paraId="58E8C93D" w14:textId="77777777" w:rsidR="00F7165B" w:rsidRDefault="00D50C9D">
      <w:pPr>
        <w:pStyle w:val="Heading2"/>
      </w:pPr>
      <w:r>
        <w:t>6.20 Patent Information</w:t>
      </w:r>
    </w:p>
    <w:p w14:paraId="757D077E" w14:textId="77777777" w:rsidR="00F7165B" w:rsidRDefault="00D50C9D">
      <w:r>
        <w:t>COM patents, process patents, expiry, FTO analysis.</w:t>
      </w:r>
    </w:p>
    <w:p w14:paraId="589560E9" w14:textId="77777777" w:rsidR="00F7165B" w:rsidRDefault="00D50C9D">
      <w:pPr>
        <w:pStyle w:val="Heading2"/>
      </w:pPr>
      <w:r>
        <w:t>6.21 SWOT Analysis</w:t>
      </w:r>
    </w:p>
    <w:p w14:paraId="75B3B976" w14:textId="77777777" w:rsidR="00F7165B" w:rsidRDefault="00D50C9D">
      <w:r>
        <w:t>Strengths, weaknesses, opportunities, threats.</w:t>
      </w:r>
    </w:p>
    <w:p w14:paraId="0ADED683" w14:textId="77777777" w:rsidR="00F7165B" w:rsidRDefault="00D50C9D">
      <w:pPr>
        <w:pStyle w:val="Heading2"/>
      </w:pPr>
      <w:r>
        <w:t>6.22 Summary &amp; Key Points</w:t>
      </w:r>
    </w:p>
    <w:p w14:paraId="21D80FC5" w14:textId="77777777" w:rsidR="00F7165B" w:rsidRDefault="00D50C9D">
      <w:r>
        <w:t>Unique pharmacology, efficacy, safety, clinical evidence, place in therapy, USPs.</w:t>
      </w:r>
    </w:p>
    <w:p w14:paraId="78E1CA89" w14:textId="77777777" w:rsidR="00F7165B" w:rsidRDefault="00D50C9D">
      <w:pPr>
        <w:pStyle w:val="Heading2"/>
      </w:pPr>
      <w:r>
        <w:t>6.23 References</w:t>
      </w:r>
    </w:p>
    <w:p w14:paraId="0923DF09" w14:textId="77777777" w:rsidR="00F7165B" w:rsidRDefault="00D50C9D">
      <w:r>
        <w:t>Vancouver style, numbered citations.</w:t>
      </w:r>
    </w:p>
    <w:sectPr w:rsidR="00F7165B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689108">
    <w:abstractNumId w:val="8"/>
  </w:num>
  <w:num w:numId="2" w16cid:durableId="1481537148">
    <w:abstractNumId w:val="6"/>
  </w:num>
  <w:num w:numId="3" w16cid:durableId="2072146999">
    <w:abstractNumId w:val="5"/>
  </w:num>
  <w:num w:numId="4" w16cid:durableId="1501657617">
    <w:abstractNumId w:val="4"/>
  </w:num>
  <w:num w:numId="5" w16cid:durableId="620620">
    <w:abstractNumId w:val="7"/>
  </w:num>
  <w:num w:numId="6" w16cid:durableId="223685003">
    <w:abstractNumId w:val="3"/>
  </w:num>
  <w:num w:numId="7" w16cid:durableId="1985354423">
    <w:abstractNumId w:val="2"/>
  </w:num>
  <w:num w:numId="8" w16cid:durableId="493108526">
    <w:abstractNumId w:val="1"/>
  </w:num>
  <w:num w:numId="9" w16cid:durableId="166928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1E5"/>
    <w:rsid w:val="00AA1D8D"/>
    <w:rsid w:val="00B47730"/>
    <w:rsid w:val="00BE669E"/>
    <w:rsid w:val="00CB0664"/>
    <w:rsid w:val="00F716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AFE50"/>
  <w14:defaultImageDpi w14:val="300"/>
  <w15:docId w15:val="{60C15074-F9D0-4BCE-9BC9-7DD3A10A7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517</Words>
  <Characters>3008</Characters>
  <Application>Microsoft Office Word</Application>
  <DocSecurity>0</DocSecurity>
  <Lines>103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Bhupesh Dewan</cp:lastModifiedBy>
  <cp:revision>2</cp:revision>
  <dcterms:created xsi:type="dcterms:W3CDTF">2026-05-04T13:46:00Z</dcterms:created>
  <dcterms:modified xsi:type="dcterms:W3CDTF">2026-05-04T13:46:00Z</dcterms:modified>
  <cp:category/>
</cp:coreProperties>
</file>