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before="400"/>
        <w:jc w:val="center"/>
      </w:pPr>
      <w:r>
        <w:rPr>
          <w:rFonts w:ascii="Arial" w:cs="Arial" w:eastAsia="Arial" w:hAnsi="Arial"/>
          <w:b/>
          <w:bCs/>
          <w:color w:val="1F4E79"/>
          <w:sz w:val="56"/>
          <w:szCs w:val="56"/>
        </w:rPr>
        <w:t xml:space="preserve">LOW-CODE WORKFLOW PLATFORM</w:t>
      </w:r>
    </w:p>
    <w:p>
      <w:pPr>
        <w:spacing w:after="100" w:before="100"/>
        <w:jc w:val="center"/>
      </w:pPr>
      <w:r>
        <w:rPr>
          <w:rFonts w:ascii="Arial" w:cs="Arial" w:eastAsia="Arial" w:hAnsi="Arial"/>
          <w:color w:val="2E75B6"/>
          <w:sz w:val="36"/>
          <w:szCs w:val="36"/>
        </w:rPr>
        <w:t xml:space="preserve">Architecture &amp; Design Reference</w:t>
      </w:r>
    </w:p>
    <w:p>
      <w:pPr>
        <w:pBdr>
          <w:bottom w:val="single" w:color="2E75B6" w:sz="6" w:space="1"/>
        </w:pBdr>
        <w:spacing w:after="120" w:before="120"/>
      </w:pPr>
      <w:r>
        <w:t xml:space="preserve"/>
      </w:r>
    </w:p>
    <w:p>
      <w:pPr>
        <w:spacing w:after="100" w:before="200"/>
        <w:jc w:val="center"/>
      </w:pPr>
      <w:r>
        <w:rPr>
          <w:rFonts w:ascii="Arial" w:cs="Arial" w:eastAsia="Arial" w:hAnsi="Arial"/>
          <w:i/>
          <w:iCs/>
          <w:color w:val="404040"/>
          <w:sz w:val="24"/>
          <w:szCs w:val="24"/>
        </w:rPr>
        <w:t xml:space="preserve">Competitive Open-Source Alternative to Appian, OutSystems, Mendix &amp; ServiceNow</w:t>
      </w:r>
    </w:p>
    <w:p>
      <w:pPr>
        <w:spacing w:before="600"/>
      </w:pPr>
      <w:r>
        <w:t xml:space="preserve"/>
      </w:r>
    </w:p>
    <w:p>
      <w:pPr>
        <w:jc w:val="center"/>
      </w:pPr>
      <w:r>
        <w:rPr>
          <w:rFonts w:ascii="Arial" w:cs="Arial" w:eastAsia="Arial" w:hAnsi="Arial"/>
          <w:color w:val="404040"/>
          <w:sz w:val="22"/>
          <w:szCs w:val="22"/>
        </w:rPr>
        <w:t xml:space="preserve">Version 1.0  |  April 2026</w:t>
      </w:r>
    </w:p>
    <w:p>
      <w:r>
        <w:br w:type="page"/>
      </w:r>
    </w:p>
    <w:p>
      <w:pPr>
        <w:pStyle w:val="Heading1"/>
        <w:spacing w:after="200" w:before="400"/>
      </w:pPr>
      <w:r>
        <w:rPr>
          <w:rFonts w:ascii="Arial" w:cs="Arial" w:eastAsia="Arial" w:hAnsi="Arial"/>
          <w:b/>
          <w:bCs/>
          <w:color w:val="1F4E79"/>
          <w:sz w:val="36"/>
          <w:szCs w:val="36"/>
        </w:rPr>
        <w:t xml:space="preserve">1. Platform Overview</w:t>
      </w:r>
    </w:p>
    <w:p>
      <w:pPr>
        <w:spacing w:after="80" w:before="80"/>
      </w:pPr>
      <w:r>
        <w:rPr>
          <w:rFonts w:ascii="Arial" w:cs="Arial" w:eastAsia="Arial" w:hAnsi="Arial"/>
          <w:sz w:val="22"/>
          <w:szCs w:val="22"/>
        </w:rPr>
        <w:t xml:space="preserve">This document describes the complete architecture of an open-source Low-Code Workflow Platform designed to be competitive with commercial tools such as Appian, OutSystems, Mendix, and ServiceNow. The platform enables tenant organizations to design, deploy, and operate business applications without writing application-layer code.</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1.1 Core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Process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BPMN 2.0 workflow orchestration, human tasks, service tasks, timers, SLAs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Form Designer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Drag-and-drop form builder, JSON Schema output, dynamic visibility rules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Data Modeler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Entity/schema designer, relationships, auto-generated REST + migration scripts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Rules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DMN decision tables, Drools DRL, versioned ruleset deployment</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Integration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REST/SOAP connectors, Kafka consumers, retry, dead-letter, credential vault</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Identity &amp; Org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SSO, RBAC, org hierarchy, delegation, LDAP/AD federation via Keycloak</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Audit &amp; Compliance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Immutable event-chained audit log across all platform and business domains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Meta-builder: process modeler, form designer, data modeler, rule editor, deployment manager</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Portal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End-user task inbox, dynamic forms, case views, dashboards</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1.2 Open-Source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Workflow Engine</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Flowable 6 / Camunda 8</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BPMN + CMMN + DMN in one; Flowable preferred for embedded use</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Form Builder</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Form.io (OSS core)</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JSON Schema + UI Schema; custom renderer for Portal</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Data / API</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Hasura + PostgreSQL</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GraphQL auto-generation; row-level security</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Rules Engine</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Drools / KIE Server</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DMN 1.3 + DRL; exposed as REST microservice</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Identity</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Keycloak</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OAuth2/OIDC; realm-per-tenant; LDAP/SAML federation</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Integration</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Apache Camel + Kafka</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Camel for connectors; Kafka for async event backbone</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Secrets</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HashiCorp Vault</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Dynamic credentials; per-tenant secret paths</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Infra</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Kubernetes + Istio</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GKE/EKS; mTLS; namespace isolation per tenant</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Observability</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Prometheus + Grafana + OpenTelemetry</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Distributed tracing; custom metrics per tenant</w:t>
            </w:r>
          </w:p>
        </w:tc>
      </w:tr>
    </w:tbl>
    <w:p>
      <w:r>
        <w:br w:type="page"/>
      </w:r>
    </w:p>
    <w:p>
      <w:pPr>
        <w:pStyle w:val="Heading1"/>
        <w:spacing w:after="200" w:before="400"/>
      </w:pPr>
      <w:r>
        <w:rPr>
          <w:rFonts w:ascii="Arial" w:cs="Arial" w:eastAsia="Arial" w:hAnsi="Arial"/>
          <w:b/>
          <w:bCs/>
          <w:color w:val="1F4E79"/>
          <w:sz w:val="36"/>
          <w:szCs w:val="36"/>
        </w:rPr>
        <w:t xml:space="preserve">2. Reference Architecture</w:t>
      </w:r>
    </w:p>
    <w:p>
      <w:pPr>
        <w:pStyle w:val="Heading2"/>
        <w:spacing w:after="160" w:before="300"/>
      </w:pPr>
      <w:r>
        <w:rPr>
          <w:rFonts w:ascii="Arial" w:cs="Arial" w:eastAsia="Arial" w:hAnsi="Arial"/>
          <w:b/>
          <w:bCs/>
          <w:color w:val="2E75B6"/>
          <w:sz w:val="28"/>
          <w:szCs w:val="28"/>
        </w:rPr>
        <w:t xml:space="preserve">2.1 Layered Architecture</w:t>
      </w:r>
    </w:p>
    <w:p>
      <w:pPr>
        <w:spacing w:after="80" w:before="80"/>
      </w:pPr>
      <w:r>
        <w:rPr>
          <w:rFonts w:ascii="Arial" w:cs="Arial" w:eastAsia="Arial" w:hAnsi="Arial"/>
          <w:sz w:val="22"/>
          <w:szCs w:val="22"/>
        </w:rPr>
        <w:t xml:space="preserve">The platform is organized into five horizontal layers, each with a distinct responsibility:</w:t>
      </w:r>
    </w:p>
    <w:p>
      <w:pPr>
        <w:pStyle w:val="ListParagraph"/>
        <w:numPr>
          <w:ilvl w:val="0"/>
          <w:numId w:val="2"/>
        </w:numPr>
        <w:spacing w:after="40" w:before="40"/>
      </w:pPr>
      <w:r>
        <w:rPr>
          <w:rFonts w:ascii="Arial" w:cs="Arial" w:eastAsia="Arial" w:hAnsi="Arial"/>
          <w:sz w:val="22"/>
          <w:szCs w:val="22"/>
        </w:rPr>
        <w:t xml:space="preserve">Studio Layer — Low-code builder where tenant developers design processes, forms, entities, rules, and integrations.</w:t>
      </w:r>
    </w:p>
    <w:p>
      <w:pPr>
        <w:pStyle w:val="ListParagraph"/>
        <w:numPr>
          <w:ilvl w:val="0"/>
          <w:numId w:val="2"/>
        </w:numPr>
        <w:spacing w:after="40" w:before="40"/>
      </w:pPr>
      <w:r>
        <w:rPr>
          <w:rFonts w:ascii="Arial" w:cs="Arial" w:eastAsia="Arial" w:hAnsi="Arial"/>
          <w:sz w:val="22"/>
          <w:szCs w:val="22"/>
        </w:rPr>
        <w:t xml:space="preserve">Portal / Runtime Layer — End-user facing interface: task inbox, dynamic forms, case views, dashboards.</w:t>
      </w:r>
    </w:p>
    <w:p>
      <w:pPr>
        <w:pStyle w:val="ListParagraph"/>
        <w:numPr>
          <w:ilvl w:val="0"/>
          <w:numId w:val="2"/>
        </w:numPr>
        <w:spacing w:after="40" w:before="40"/>
      </w:pPr>
      <w:r>
        <w:rPr>
          <w:rFonts w:ascii="Arial" w:cs="Arial" w:eastAsia="Arial" w:hAnsi="Arial"/>
          <w:sz w:val="22"/>
          <w:szCs w:val="22"/>
        </w:rPr>
        <w:t xml:space="preserve">API Gateway Layer — Single entry point for all traffic; handles authentication, tenant resolution, rate limiting, and routing.</w:t>
      </w:r>
    </w:p>
    <w:p>
      <w:pPr>
        <w:pStyle w:val="ListParagraph"/>
        <w:numPr>
          <w:ilvl w:val="0"/>
          <w:numId w:val="2"/>
        </w:numPr>
        <w:spacing w:after="40" w:before="40"/>
      </w:pPr>
      <w:r>
        <w:rPr>
          <w:rFonts w:ascii="Arial" w:cs="Arial" w:eastAsia="Arial" w:hAnsi="Arial"/>
          <w:sz w:val="22"/>
          <w:szCs w:val="22"/>
        </w:rPr>
        <w:t xml:space="preserve">Core Services Layer — Workflow Engine, Form Service, Data Service, Integration Service, Rules Engine, Notification Service, Audit Service.</w:t>
      </w:r>
    </w:p>
    <w:p>
      <w:pPr>
        <w:pStyle w:val="ListParagraph"/>
        <w:numPr>
          <w:ilvl w:val="0"/>
          <w:numId w:val="2"/>
        </w:numPr>
        <w:spacing w:after="40" w:before="40"/>
      </w:pPr>
      <w:r>
        <w:rPr>
          <w:rFonts w:ascii="Arial" w:cs="Arial" w:eastAsia="Arial" w:hAnsi="Arial"/>
          <w:sz w:val="22"/>
          <w:szCs w:val="22"/>
        </w:rPr>
        <w:t xml:space="preserve">Data &amp; Messaging Layer — PostgreSQL (primary), Redis (cache/locking), Apache Kafka (event backbone).</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2.2 Data Flow — Happy Path</w:t>
      </w:r>
    </w:p>
    <w:p>
      <w:pPr>
        <w:spacing w:after="80" w:before="80"/>
      </w:pPr>
      <w:r>
        <w:rPr>
          <w:rFonts w:ascii="Arial" w:cs="Arial" w:eastAsia="Arial" w:hAnsi="Arial"/>
          <w:sz w:val="22"/>
          <w:szCs w:val="22"/>
        </w:rPr>
        <w:t xml:space="preserve">The following sequence illustrates a typical loan application workflow:</w:t>
      </w:r>
    </w:p>
    <w:p>
      <w:pPr>
        <w:spacing w:after="60" w:before="60"/>
        <w:ind w:left="360"/>
      </w:pPr>
      <w:r>
        <w:rPr>
          <w:rFonts w:ascii="Courier New" w:cs="Courier New" w:eastAsia="Courier New" w:hAnsi="Courier New"/>
          <w:color w:val="333333"/>
          <w:sz w:val="18"/>
          <w:szCs w:val="18"/>
        </w:rPr>
        <w:t xml:space="preserve">1. User submits Loan Application form (Portal)</w:t>
      </w:r>
    </w:p>
    <w:p>
      <w:pPr>
        <w:spacing w:after="60" w:before="60"/>
        <w:ind w:left="360"/>
      </w:pPr>
      <w:r>
        <w:rPr>
          <w:rFonts w:ascii="Courier New" w:cs="Courier New" w:eastAsia="Courier New" w:hAnsi="Courier New"/>
          <w:color w:val="333333"/>
          <w:sz w:val="18"/>
          <w:szCs w:val="18"/>
        </w:rPr>
        <w:t xml:space="preserve">2. Form Service validates → persists to Data Service</w:t>
      </w:r>
    </w:p>
    <w:p>
      <w:pPr>
        <w:spacing w:after="60" w:before="60"/>
        <w:ind w:left="360"/>
      </w:pPr>
      <w:r>
        <w:rPr>
          <w:rFonts w:ascii="Courier New" w:cs="Courier New" w:eastAsia="Courier New" w:hAnsi="Courier New"/>
          <w:color w:val="333333"/>
          <w:sz w:val="18"/>
          <w:szCs w:val="18"/>
        </w:rPr>
        <w:t xml:space="preserve">3. Workflow Engine starts process instance (LoanApprovalProcess)</w:t>
      </w:r>
    </w:p>
    <w:p>
      <w:pPr>
        <w:spacing w:after="60" w:before="60"/>
        <w:ind w:left="360"/>
      </w:pPr>
      <w:r>
        <w:rPr>
          <w:rFonts w:ascii="Courier New" w:cs="Courier New" w:eastAsia="Courier New" w:hAnsi="Courier New"/>
          <w:color w:val="333333"/>
          <w:sz w:val="18"/>
          <w:szCs w:val="18"/>
        </w:rPr>
        <w:t xml:space="preserve">4. Rules Engine evaluates loan amount → routes to L1 or L2 approver</w:t>
      </w:r>
    </w:p>
    <w:p>
      <w:pPr>
        <w:spacing w:after="60" w:before="60"/>
        <w:ind w:left="360"/>
      </w:pPr>
      <w:r>
        <w:rPr>
          <w:rFonts w:ascii="Courier New" w:cs="Courier New" w:eastAsia="Courier New" w:hAnsi="Courier New"/>
          <w:color w:val="333333"/>
          <w:sz w:val="18"/>
          <w:szCs w:val="18"/>
        </w:rPr>
        <w:t xml:space="preserve">5. Task created → assigned to approver group</w:t>
      </w:r>
    </w:p>
    <w:p>
      <w:pPr>
        <w:spacing w:after="60" w:before="60"/>
        <w:ind w:left="360"/>
      </w:pPr>
      <w:r>
        <w:rPr>
          <w:rFonts w:ascii="Courier New" w:cs="Courier New" w:eastAsia="Courier New" w:hAnsi="Courier New"/>
          <w:color w:val="333333"/>
          <w:sz w:val="18"/>
          <w:szCs w:val="18"/>
        </w:rPr>
        <w:t xml:space="preserve">6. Kafka event → Notification Service → email to approver</w:t>
      </w:r>
    </w:p>
    <w:p>
      <w:pPr>
        <w:spacing w:after="60" w:before="60"/>
        <w:ind w:left="360"/>
      </w:pPr>
      <w:r>
        <w:rPr>
          <w:rFonts w:ascii="Courier New" w:cs="Courier New" w:eastAsia="Courier New" w:hAnsi="Courier New"/>
          <w:color w:val="333333"/>
          <w:sz w:val="18"/>
          <w:szCs w:val="18"/>
        </w:rPr>
        <w:t xml:space="preserve">7. Approver opens Task Inbox → reviews form with applicant data</w:t>
      </w:r>
    </w:p>
    <w:p>
      <w:pPr>
        <w:spacing w:after="60" w:before="60"/>
        <w:ind w:left="360"/>
      </w:pPr>
      <w:r>
        <w:rPr>
          <w:rFonts w:ascii="Courier New" w:cs="Courier New" w:eastAsia="Courier New" w:hAnsi="Courier New"/>
          <w:color w:val="333333"/>
          <w:sz w:val="18"/>
          <w:szCs w:val="18"/>
        </w:rPr>
        <w:t xml:space="preserve">8. Approver approves → task completed</w:t>
      </w:r>
    </w:p>
    <w:p>
      <w:pPr>
        <w:spacing w:after="60" w:before="60"/>
        <w:ind w:left="360"/>
      </w:pPr>
      <w:r>
        <w:rPr>
          <w:rFonts w:ascii="Courier New" w:cs="Courier New" w:eastAsia="Courier New" w:hAnsi="Courier New"/>
          <w:color w:val="333333"/>
          <w:sz w:val="18"/>
          <w:szCs w:val="18"/>
        </w:rPr>
        <w:t xml:space="preserve">9. Integration Service → calls core banking REST API</w:t>
      </w:r>
    </w:p>
    <w:p>
      <w:pPr>
        <w:spacing w:after="60" w:before="60"/>
        <w:ind w:left="360"/>
      </w:pPr>
      <w:r>
        <w:rPr>
          <w:rFonts w:ascii="Courier New" w:cs="Courier New" w:eastAsia="Courier New" w:hAnsi="Courier New"/>
          <w:color w:val="333333"/>
          <w:sz w:val="18"/>
          <w:szCs w:val="18"/>
        </w:rPr>
        <w:t xml:space="preserve">10. Process ends → Audit log updated → Applicant notified</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2.3 Environment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Studio Access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Deployment Method</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DEV</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Full edit access</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Pipeline auto-deploy on commit</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SIT</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Full edit access</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Pipeline auto-deploy on merge</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UAT</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Read-only view</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API call via pipeline + Tech Lead approval</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PREPROD</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Read-only view</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API call + CAB ticket approval</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PROD</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Read-only view</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API call + dual approval + change window</w:t>
            </w:r>
          </w:p>
        </w:tc>
      </w:tr>
    </w:tbl>
    <w:p>
      <w:r>
        <w:br w:type="page"/>
      </w:r>
    </w:p>
    <w:p>
      <w:pPr>
        <w:pStyle w:val="Heading1"/>
        <w:spacing w:after="200" w:before="400"/>
      </w:pPr>
      <w:r>
        <w:rPr>
          <w:rFonts w:ascii="Arial" w:cs="Arial" w:eastAsia="Arial" w:hAnsi="Arial"/>
          <w:b/>
          <w:bCs/>
          <w:color w:val="1F4E79"/>
          <w:sz w:val="36"/>
          <w:szCs w:val="36"/>
        </w:rPr>
        <w:t xml:space="preserve">3. Multi-Tenancy — Bridge Model</w:t>
      </w:r>
    </w:p>
    <w:p>
      <w:pPr>
        <w:pStyle w:val="Heading2"/>
        <w:spacing w:after="160" w:before="300"/>
      </w:pPr>
      <w:r>
        <w:rPr>
          <w:rFonts w:ascii="Arial" w:cs="Arial" w:eastAsia="Arial" w:hAnsi="Arial"/>
          <w:b/>
          <w:bCs/>
          <w:color w:val="2E75B6"/>
          <w:sz w:val="28"/>
          <w:szCs w:val="28"/>
        </w:rPr>
        <w:t xml:space="preserve">3.1 Model Selection</w:t>
      </w:r>
    </w:p>
    <w:p>
      <w:pPr>
        <w:spacing w:after="80" w:before="80"/>
      </w:pPr>
      <w:r>
        <w:rPr>
          <w:rFonts w:ascii="Arial" w:cs="Arial" w:eastAsia="Arial" w:hAnsi="Arial"/>
          <w:sz w:val="22"/>
          <w:szCs w:val="22"/>
        </w:rPr>
        <w:t xml:space="preserve">The platform implements the Bridge Model: shared infrastructure with isolated data per tenant. This balances cost efficiency with strong data isolation.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DB Schema</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Engine</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Enterprise</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Dedicated schema per tenant</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Dedicated engine pod(s) in dedicated K8s namespace</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Professional</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Dedicated schema per tenant</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Shared engine pod in dedicated K8s namespace</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Starter</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Shared schema with RLS (tenant_id column)</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Shared engine pod in shared K8s namespace</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3.2 Tenant Context Propagation</w:t>
      </w:r>
    </w:p>
    <w:p>
      <w:pPr>
        <w:spacing w:after="80" w:before="80"/>
      </w:pPr>
      <w:r>
        <w:rPr>
          <w:rFonts w:ascii="Arial" w:cs="Arial" w:eastAsia="Arial" w:hAnsi="Arial"/>
          <w:sz w:val="22"/>
          <w:szCs w:val="22"/>
        </w:rPr>
        <w:t xml:space="preserve">Every request carries tenant context from API Gateway through to the database layer:</w:t>
      </w:r>
    </w:p>
    <w:p>
      <w:pPr>
        <w:spacing w:after="60" w:before="60"/>
        <w:ind w:left="360"/>
      </w:pPr>
      <w:r>
        <w:rPr>
          <w:rFonts w:ascii="Courier New" w:cs="Courier New" w:eastAsia="Courier New" w:hAnsi="Courier New"/>
          <w:color w:val="333333"/>
          <w:sz w:val="18"/>
          <w:szCs w:val="18"/>
        </w:rPr>
        <w:t xml:space="preserve">Incoming Request (hsbc.platform.com)</w:t>
      </w:r>
    </w:p>
    <w:p>
      <w:pPr>
        <w:spacing w:after="60" w:before="60"/>
        <w:ind w:left="360"/>
      </w:pPr>
      <w:r>
        <w:rPr>
          <w:rFonts w:ascii="Courier New" w:cs="Courier New" w:eastAsia="Courier New" w:hAnsi="Courier New"/>
          <w:color w:val="333333"/>
          <w:sz w:val="18"/>
          <w:szCs w:val="18"/>
        </w:rPr>
        <w:t xml:space="preserve">  → Kong API Gateway: resolves subdomain → tenant_id = 'hsbc'</w:t>
      </w:r>
    </w:p>
    <w:p>
      <w:pPr>
        <w:spacing w:after="60" w:before="60"/>
        <w:ind w:left="360"/>
      </w:pPr>
      <w:r>
        <w:rPr>
          <w:rFonts w:ascii="Courier New" w:cs="Courier New" w:eastAsia="Courier New" w:hAnsi="Courier New"/>
          <w:color w:val="333333"/>
          <w:sz w:val="18"/>
          <w:szCs w:val="18"/>
        </w:rPr>
        <w:t xml:space="preserve">  → Validates JWT against hsbc-realm (Keycloak)</w:t>
      </w:r>
    </w:p>
    <w:p>
      <w:pPr>
        <w:spacing w:after="60" w:before="60"/>
        <w:ind w:left="360"/>
      </w:pPr>
      <w:r>
        <w:rPr>
          <w:rFonts w:ascii="Courier New" w:cs="Courier New" w:eastAsia="Courier New" w:hAnsi="Courier New"/>
          <w:color w:val="333333"/>
          <w:sz w:val="18"/>
          <w:szCs w:val="18"/>
        </w:rPr>
        <w:t xml:space="preserve">  → Injects: X-Tenant-ID, X-Tenant-Tier, X-Tenant-Schema</w:t>
      </w:r>
    </w:p>
    <w:p>
      <w:pPr>
        <w:spacing w:after="60" w:before="60"/>
        <w:ind w:left="360"/>
      </w:pPr>
      <w:r>
        <w:rPr>
          <w:rFonts w:ascii="Courier New" w:cs="Courier New" w:eastAsia="Courier New" w:hAnsi="Courier New"/>
          <w:color w:val="333333"/>
          <w:sz w:val="18"/>
          <w:szCs w:val="18"/>
        </w:rPr>
        <w:t xml:space="preserve">  → Routes to hsbc-prod K8s namespace</w:t>
      </w:r>
    </w:p>
    <w:p>
      <w:pPr>
        <w:spacing w:after="60" w:before="60"/>
        <w:ind w:left="360"/>
      </w:pPr>
      <w:r>
        <w:rPr>
          <w:rFonts w:ascii="Courier New" w:cs="Courier New" w:eastAsia="Courier New" w:hAnsi="Courier New"/>
          <w:color w:val="333333"/>
          <w:sz w:val="18"/>
          <w:szCs w:val="18"/>
        </w:rPr>
        <w:t xml:space="preserve">  → TenantResolutionFilter: sets TenantContext ThreadLocal</w:t>
      </w:r>
    </w:p>
    <w:p>
      <w:pPr>
        <w:spacing w:after="60" w:before="60"/>
        <w:ind w:left="360"/>
      </w:pPr>
      <w:r>
        <w:rPr>
          <w:rFonts w:ascii="Courier New" w:cs="Courier New" w:eastAsia="Courier New" w:hAnsi="Courier New"/>
          <w:color w:val="333333"/>
          <w:sz w:val="18"/>
          <w:szCs w:val="18"/>
        </w:rPr>
        <w:t xml:space="preserve">  → DataSource routes to hsbc_platform schema</w:t>
      </w:r>
    </w:p>
    <w:p>
      <w:pPr>
        <w:spacing w:after="60" w:before="60"/>
        <w:ind w:left="360"/>
      </w:pPr>
      <w:r>
        <w:rPr>
          <w:rFonts w:ascii="Courier New" w:cs="Courier New" w:eastAsia="Courier New" w:hAnsi="Courier New"/>
          <w:color w:val="333333"/>
          <w:sz w:val="18"/>
          <w:szCs w:val="18"/>
        </w:rPr>
        <w:t xml:space="preserve">  → Kafka producer: uses hsbc.* topic prefix</w:t>
      </w:r>
    </w:p>
    <w:p>
      <w:pPr>
        <w:spacing w:after="60" w:before="60"/>
        <w:ind w:left="360"/>
      </w:pPr>
      <w:r>
        <w:rPr>
          <w:rFonts w:ascii="Courier New" w:cs="Courier New" w:eastAsia="Courier New" w:hAnsi="Courier New"/>
          <w:color w:val="333333"/>
          <w:sz w:val="18"/>
          <w:szCs w:val="18"/>
        </w:rPr>
        <w:t xml:space="preserve">  → Every audit event: tenantId stamped on envelope</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3.3 Locked Bridge Model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Enterprise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Professional</w:t>
            </w:r>
          </w:p>
        </w:tc>
        <w:tc>
          <w:tcPr>
            <w:tcW w:type="dxa" w:w="2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Starter</w:t>
            </w:r>
          </w:p>
        </w:tc>
      </w:tr>
      <w:tr>
        <w:tc>
          <w:tcPr>
            <w:tcW w:type="dxa" w:w="24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8"/>
                <w:szCs w:val="18"/>
              </w:rPr>
              <w:t xml:space="preserve">K8s Namespace</w:t>
            </w:r>
          </w:p>
        </w:tc>
        <w:tc>
          <w:tcPr>
            <w:tcW w:type="dxa" w:w="24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Dedicated</w:t>
            </w:r>
          </w:p>
        </w:tc>
        <w:tc>
          <w:tcPr>
            <w:tcW w:type="dxa" w:w="24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Dedicated</w:t>
            </w:r>
          </w:p>
        </w:tc>
        <w:tc>
          <w:tcPr>
            <w:tcW w:type="dxa" w:w="21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Shared pool</w:t>
            </w:r>
          </w:p>
        </w:tc>
      </w:tr>
      <w:tr>
        <w:tc>
          <w:tcPr>
            <w:tcW w:type="dxa" w:w="24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8"/>
                <w:szCs w:val="18"/>
              </w:rPr>
              <w:t xml:space="preserve">Flowable Engine</w:t>
            </w:r>
          </w:p>
        </w:tc>
        <w:tc>
          <w:tcPr>
            <w:tcW w:type="dxa" w:w="24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Dedicated pod</w:t>
            </w:r>
          </w:p>
        </w:tc>
        <w:tc>
          <w:tcPr>
            <w:tcW w:type="dxa" w:w="24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Shared pod</w:t>
            </w:r>
          </w:p>
        </w:tc>
        <w:tc>
          <w:tcPr>
            <w:tcW w:type="dxa" w:w="21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Shared pod</w:t>
            </w:r>
          </w:p>
        </w:tc>
      </w:tr>
      <w:tr>
        <w:tc>
          <w:tcPr>
            <w:tcW w:type="dxa" w:w="24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8"/>
                <w:szCs w:val="18"/>
              </w:rPr>
              <w:t xml:space="preserve">DB Schema</w:t>
            </w:r>
          </w:p>
        </w:tc>
        <w:tc>
          <w:tcPr>
            <w:tcW w:type="dxa" w:w="24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Dedicated</w:t>
            </w:r>
          </w:p>
        </w:tc>
        <w:tc>
          <w:tcPr>
            <w:tcW w:type="dxa" w:w="24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Dedicated</w:t>
            </w:r>
          </w:p>
        </w:tc>
        <w:tc>
          <w:tcPr>
            <w:tcW w:type="dxa" w:w="21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Shared + RLS</w:t>
            </w:r>
          </w:p>
        </w:tc>
      </w:tr>
      <w:tr>
        <w:tc>
          <w:tcPr>
            <w:tcW w:type="dxa" w:w="24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8"/>
                <w:szCs w:val="18"/>
              </w:rPr>
              <w:t xml:space="preserve">Kafka Topics</w:t>
            </w:r>
          </w:p>
        </w:tc>
        <w:tc>
          <w:tcPr>
            <w:tcW w:type="dxa" w:w="24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Dedicated prefix</w:t>
            </w:r>
          </w:p>
        </w:tc>
        <w:tc>
          <w:tcPr>
            <w:tcW w:type="dxa" w:w="24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Dedicated prefix</w:t>
            </w:r>
          </w:p>
        </w:tc>
        <w:tc>
          <w:tcPr>
            <w:tcW w:type="dxa" w:w="21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Shared + header</w:t>
            </w:r>
          </w:p>
        </w:tc>
      </w:tr>
      <w:tr>
        <w:tc>
          <w:tcPr>
            <w:tcW w:type="dxa" w:w="24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8"/>
                <w:szCs w:val="18"/>
              </w:rPr>
              <w:t xml:space="preserve">Redis</w:t>
            </w:r>
          </w:p>
        </w:tc>
        <w:tc>
          <w:tcPr>
            <w:tcW w:type="dxa" w:w="24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Dedicated DB#</w:t>
            </w:r>
          </w:p>
        </w:tc>
        <w:tc>
          <w:tcPr>
            <w:tcW w:type="dxa" w:w="24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Dedicated</w:t>
            </w:r>
          </w:p>
        </w:tc>
        <w:tc>
          <w:tcPr>
            <w:tcW w:type="dxa" w:w="21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Key-prefix</w:t>
            </w:r>
          </w:p>
        </w:tc>
      </w:tr>
      <w:tr>
        <w:tc>
          <w:tcPr>
            <w:tcW w:type="dxa" w:w="24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8"/>
                <w:szCs w:val="18"/>
              </w:rPr>
              <w:t xml:space="preserve">Keycloak</w:t>
            </w:r>
          </w:p>
        </w:tc>
        <w:tc>
          <w:tcPr>
            <w:tcW w:type="dxa" w:w="24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Dedicated realm</w:t>
            </w:r>
          </w:p>
        </w:tc>
        <w:tc>
          <w:tcPr>
            <w:tcW w:type="dxa" w:w="24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Dedicated realm</w:t>
            </w:r>
          </w:p>
        </w:tc>
        <w:tc>
          <w:tcPr>
            <w:tcW w:type="dxa" w:w="21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Shared + groups</w:t>
            </w:r>
          </w:p>
        </w:tc>
      </w:tr>
      <w:tr>
        <w:tc>
          <w:tcPr>
            <w:tcW w:type="dxa" w:w="24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8"/>
                <w:szCs w:val="18"/>
              </w:rPr>
              <w:t xml:space="preserve">History Level</w:t>
            </w:r>
          </w:p>
        </w:tc>
        <w:tc>
          <w:tcPr>
            <w:tcW w:type="dxa" w:w="24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AUDIT / FULL</w:t>
            </w:r>
          </w:p>
        </w:tc>
        <w:tc>
          <w:tcPr>
            <w:tcW w:type="dxa" w:w="24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AUDIT</w:t>
            </w:r>
          </w:p>
        </w:tc>
        <w:tc>
          <w:tcPr>
            <w:tcW w:type="dxa" w:w="21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ACTIVITY</w:t>
            </w:r>
          </w:p>
        </w:tc>
      </w:tr>
      <w:tr>
        <w:tc>
          <w:tcPr>
            <w:tcW w:type="dxa" w:w="24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8"/>
                <w:szCs w:val="18"/>
              </w:rPr>
              <w:t xml:space="preserve">Rate Limit</w:t>
            </w:r>
          </w:p>
        </w:tc>
        <w:tc>
          <w:tcPr>
            <w:tcW w:type="dxa" w:w="24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10k req/min</w:t>
            </w:r>
          </w:p>
        </w:tc>
        <w:tc>
          <w:tcPr>
            <w:tcW w:type="dxa" w:w="24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1k req/min</w:t>
            </w:r>
          </w:p>
        </w:tc>
        <w:tc>
          <w:tcPr>
            <w:tcW w:type="dxa" w:w="21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100 req/min</w:t>
            </w:r>
          </w:p>
        </w:tc>
      </w:tr>
    </w:tbl>
    <w:p>
      <w:r>
        <w:br w:type="page"/>
      </w:r>
    </w:p>
    <w:p>
      <w:pPr>
        <w:pStyle w:val="Heading1"/>
        <w:spacing w:after="200" w:before="400"/>
      </w:pPr>
      <w:r>
        <w:rPr>
          <w:rFonts w:ascii="Arial" w:cs="Arial" w:eastAsia="Arial" w:hAnsi="Arial"/>
          <w:b/>
          <w:bCs/>
          <w:color w:val="1F4E79"/>
          <w:sz w:val="36"/>
          <w:szCs w:val="36"/>
        </w:rPr>
        <w:t xml:space="preserve">4. Flowable Database Tables — Bridge Model</w:t>
      </w:r>
    </w:p>
    <w:p>
      <w:pPr>
        <w:pStyle w:val="Heading2"/>
        <w:spacing w:after="160" w:before="300"/>
      </w:pPr>
      <w:r>
        <w:rPr>
          <w:rFonts w:ascii="Arial" w:cs="Arial" w:eastAsia="Arial" w:hAnsi="Arial"/>
          <w:b/>
          <w:bCs/>
          <w:color w:val="2E75B6"/>
          <w:sz w:val="28"/>
          <w:szCs w:val="28"/>
        </w:rPr>
        <w:t xml:space="preserve">4.1 Table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act_ge_*</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General — byte arrays, properties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act_re_*</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Repository — process/form/DMN definitions, deployments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act_ru_*</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Runtime — active executions, tasks, jobs, variables (hot tables)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act_hi_*</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History — completed instances, task history, variable snapshots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act_fo_*</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Form Engine — form definitions and submissions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act_dmn_*</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Decision Engine — DMN deployments and decision tables</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4.2 Key Runtime Tables</w:t>
      </w:r>
    </w:p>
    <w:p>
      <w:pPr>
        <w:spacing w:after="80" w:before="80"/>
      </w:pPr>
      <w:r>
        <w:rPr>
          <w:rFonts w:ascii="Arial" w:cs="Arial" w:eastAsia="Arial" w:hAnsi="Arial"/>
          <w:sz w:val="22"/>
          <w:szCs w:val="22"/>
        </w:rPr>
        <w:t xml:space="preserve">The act_ru_* tables are the performance-critical hot path. Key tables:</w:t>
      </w:r>
    </w:p>
    <w:p>
      <w:pPr>
        <w:pStyle w:val="ListParagraph"/>
        <w:numPr>
          <w:ilvl w:val="0"/>
          <w:numId w:val="2"/>
        </w:numPr>
        <w:spacing w:after="40" w:before="40"/>
      </w:pPr>
      <w:r>
        <w:rPr>
          <w:rFonts w:ascii="Arial" w:cs="Arial" w:eastAsia="Arial" w:hAnsi="Arial"/>
          <w:sz w:val="22"/>
          <w:szCs w:val="22"/>
        </w:rPr>
        <w:t xml:space="preserve">act_ru_execution — one row per active token in a process instance. Supports parallel execution via is_concurrent_ flag.</w:t>
      </w:r>
    </w:p>
    <w:p>
      <w:pPr>
        <w:pStyle w:val="ListParagraph"/>
        <w:numPr>
          <w:ilvl w:val="0"/>
          <w:numId w:val="2"/>
        </w:numPr>
        <w:spacing w:after="40" w:before="40"/>
      </w:pPr>
      <w:r>
        <w:rPr>
          <w:rFonts w:ascii="Arial" w:cs="Arial" w:eastAsia="Arial" w:hAnsi="Arial"/>
          <w:sz w:val="22"/>
          <w:szCs w:val="22"/>
        </w:rPr>
        <w:t xml:space="preserve">act_ru_task — one row per active human task. Contains assignee_, due_date_, form_key_, claim_time_, priority_.</w:t>
      </w:r>
    </w:p>
    <w:p>
      <w:pPr>
        <w:pStyle w:val="ListParagraph"/>
        <w:numPr>
          <w:ilvl w:val="0"/>
          <w:numId w:val="2"/>
        </w:numPr>
        <w:spacing w:after="40" w:before="40"/>
      </w:pPr>
      <w:r>
        <w:rPr>
          <w:rFonts w:ascii="Arial" w:cs="Arial" w:eastAsia="Arial" w:hAnsi="Arial"/>
          <w:sz w:val="22"/>
          <w:szCs w:val="22"/>
        </w:rPr>
        <w:t xml:space="preserve">act_ru_variable — process variable storage. Large payloads stored by reference (Claim Check Pattern).</w:t>
      </w:r>
    </w:p>
    <w:p>
      <w:pPr>
        <w:pStyle w:val="ListParagraph"/>
        <w:numPr>
          <w:ilvl w:val="0"/>
          <w:numId w:val="2"/>
        </w:numPr>
        <w:spacing w:after="40" w:before="40"/>
      </w:pPr>
      <w:r>
        <w:rPr>
          <w:rFonts w:ascii="Arial" w:cs="Arial" w:eastAsia="Arial" w:hAnsi="Arial"/>
          <w:sz w:val="22"/>
          <w:szCs w:val="22"/>
        </w:rPr>
        <w:t xml:space="preserve">act_ru_job — async job queue. Acquired via FOR UPDATE SKIP LOCKED for safe multi-node clustering.</w:t>
      </w:r>
    </w:p>
    <w:p>
      <w:pPr>
        <w:pStyle w:val="ListParagraph"/>
        <w:numPr>
          <w:ilvl w:val="0"/>
          <w:numId w:val="2"/>
        </w:numPr>
        <w:spacing w:after="40" w:before="40"/>
      </w:pPr>
      <w:r>
        <w:rPr>
          <w:rFonts w:ascii="Arial" w:cs="Arial" w:eastAsia="Arial" w:hAnsi="Arial"/>
          <w:sz w:val="22"/>
          <w:szCs w:val="22"/>
        </w:rPr>
        <w:t xml:space="preserve">act_ru_deadletter_job — failed jobs that exhausted retries. Requires manual intervention or replay.</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4.3 Schema Layout per Tenant</w:t>
      </w:r>
    </w:p>
    <w:p>
      <w:pPr>
        <w:spacing w:after="60" w:before="60"/>
        <w:ind w:left="360"/>
      </w:pPr>
      <w:r>
        <w:rPr>
          <w:rFonts w:ascii="Courier New" w:cs="Courier New" w:eastAsia="Courier New" w:hAnsi="Courier New"/>
          <w:color w:val="333333"/>
          <w:sz w:val="18"/>
          <w:szCs w:val="18"/>
        </w:rPr>
        <w:t xml:space="preserve">PostgreSQL Cluster</w:t>
      </w:r>
    </w:p>
    <w:p>
      <w:pPr>
        <w:spacing w:after="60" w:before="60"/>
        <w:ind w:left="360"/>
      </w:pPr>
      <w:r>
        <w:rPr>
          <w:rFonts w:ascii="Courier New" w:cs="Courier New" w:eastAsia="Courier New" w:hAnsi="Courier New"/>
          <w:color w:val="333333"/>
          <w:sz w:val="18"/>
          <w:szCs w:val="18"/>
        </w:rPr>
        <w:t xml:space="preserve">  schema: platform_meta          ← tenant registry, shared config</w:t>
      </w:r>
    </w:p>
    <w:p>
      <w:pPr>
        <w:spacing w:after="60" w:before="60"/>
        <w:ind w:left="360"/>
      </w:pPr>
      <w:r>
        <w:rPr>
          <w:rFonts w:ascii="Courier New" w:cs="Courier New" w:eastAsia="Courier New" w:hAnsi="Courier New"/>
          <w:color w:val="333333"/>
          <w:sz w:val="18"/>
          <w:szCs w:val="18"/>
        </w:rPr>
        <w:t xml:space="preserve">  schema: hsbc_platform          ← Enterprise tenant</w:t>
      </w:r>
    </w:p>
    <w:p>
      <w:pPr>
        <w:spacing w:after="60" w:before="60"/>
        <w:ind w:left="360"/>
      </w:pPr>
      <w:r>
        <w:rPr>
          <w:rFonts w:ascii="Courier New" w:cs="Courier New" w:eastAsia="Courier New" w:hAnsi="Courier New"/>
          <w:color w:val="333333"/>
          <w:sz w:val="18"/>
          <w:szCs w:val="18"/>
        </w:rPr>
        <w:t xml:space="preserve">    act_re_* (5 tables)          ← definitions</w:t>
      </w:r>
    </w:p>
    <w:p>
      <w:pPr>
        <w:spacing w:after="60" w:before="60"/>
        <w:ind w:left="360"/>
      </w:pPr>
      <w:r>
        <w:rPr>
          <w:rFonts w:ascii="Courier New" w:cs="Courier New" w:eastAsia="Courier New" w:hAnsi="Courier New"/>
          <w:color w:val="333333"/>
          <w:sz w:val="18"/>
          <w:szCs w:val="18"/>
        </w:rPr>
        <w:t xml:space="preserve">    act_ru_* (8 tables)          ← live runtime — HOT</w:t>
      </w:r>
    </w:p>
    <w:p>
      <w:pPr>
        <w:spacing w:after="60" w:before="60"/>
        <w:ind w:left="360"/>
      </w:pPr>
      <w:r>
        <w:rPr>
          <w:rFonts w:ascii="Courier New" w:cs="Courier New" w:eastAsia="Courier New" w:hAnsi="Courier New"/>
          <w:color w:val="333333"/>
          <w:sz w:val="18"/>
          <w:szCs w:val="18"/>
        </w:rPr>
        <w:t xml:space="preserve">    act_hi_* (8 tables)          ← history — WARM</w:t>
      </w:r>
    </w:p>
    <w:p>
      <w:pPr>
        <w:spacing w:after="60" w:before="60"/>
        <w:ind w:left="360"/>
      </w:pPr>
      <w:r>
        <w:rPr>
          <w:rFonts w:ascii="Courier New" w:cs="Courier New" w:eastAsia="Courier New" w:hAnsi="Courier New"/>
          <w:color w:val="333333"/>
          <w:sz w:val="18"/>
          <w:szCs w:val="18"/>
        </w:rPr>
        <w:t xml:space="preserve">    act_fo_* (3 tables)          ← form engine</w:t>
      </w:r>
    </w:p>
    <w:p>
      <w:pPr>
        <w:spacing w:after="60" w:before="60"/>
        <w:ind w:left="360"/>
      </w:pPr>
      <w:r>
        <w:rPr>
          <w:rFonts w:ascii="Courier New" w:cs="Courier New" w:eastAsia="Courier New" w:hAnsi="Courier New"/>
          <w:color w:val="333333"/>
          <w:sz w:val="18"/>
          <w:szCs w:val="18"/>
        </w:rPr>
        <w:t xml:space="preserve">    act_dmn_* (4 tables)         ← decision engine</w:t>
      </w:r>
    </w:p>
    <w:p>
      <w:pPr>
        <w:spacing w:after="60" w:before="60"/>
        <w:ind w:left="360"/>
      </w:pPr>
      <w:r>
        <w:rPr>
          <w:rFonts w:ascii="Courier New" w:cs="Courier New" w:eastAsia="Courier New" w:hAnsi="Courier New"/>
          <w:color w:val="333333"/>
          <w:sz w:val="18"/>
          <w:szCs w:val="18"/>
        </w:rPr>
        <w:t xml:space="preserve">    custom_* (tenant entities)   ← business data</w:t>
      </w:r>
    </w:p>
    <w:p>
      <w:pPr>
        <w:spacing w:after="60" w:before="60"/>
        <w:ind w:left="360"/>
      </w:pPr>
      <w:r>
        <w:rPr>
          <w:rFonts w:ascii="Courier New" w:cs="Courier New" w:eastAsia="Courier New" w:hAnsi="Courier New"/>
          <w:color w:val="333333"/>
          <w:sz w:val="18"/>
          <w:szCs w:val="18"/>
        </w:rPr>
        <w:t xml:space="preserve">  schema: icici_platform         ← Professional tenant</w:t>
      </w:r>
    </w:p>
    <w:p>
      <w:pPr>
        <w:spacing w:after="60" w:before="60"/>
        <w:ind w:left="360"/>
      </w:pPr>
      <w:r>
        <w:rPr>
          <w:rFonts w:ascii="Courier New" w:cs="Courier New" w:eastAsia="Courier New" w:hAnsi="Courier New"/>
          <w:color w:val="333333"/>
          <w:sz w:val="18"/>
          <w:szCs w:val="18"/>
        </w:rPr>
        <w:t xml:space="preserve">  schema: shared_starter         ← All Starter tenants (tenant_id_ column)</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4.4 History Level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History Level</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Enterprise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FULL + Async History Writer enabled</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Professional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AUDIT + Async History Writer enabled</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Starter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ACTIVITY — lower storage cost</w:t>
            </w:r>
          </w:p>
        </w:tc>
      </w:tr>
    </w:tbl>
    <w:p>
      <w:pPr>
        <w:spacing w:after="80" w:before="80"/>
      </w:pPr>
      <w:r>
        <w:rPr>
          <w:rFonts w:ascii="Arial" w:cs="Arial" w:eastAsia="Arial" w:hAnsi="Arial"/>
          <w:sz w:val="22"/>
          <w:szCs w:val="22"/>
        </w:rPr>
        <w:t xml:space="preserve">History tables are partitioned monthly and archived to cold storage (GCS/S3 WORM) based on configurable retention policy per tenant tier.</w:t>
      </w:r>
    </w:p>
    <w:p>
      <w:r>
        <w:br w:type="page"/>
      </w:r>
    </w:p>
    <w:p>
      <w:pPr>
        <w:pStyle w:val="Heading1"/>
        <w:spacing w:after="200" w:before="400"/>
      </w:pPr>
      <w:r>
        <w:rPr>
          <w:rFonts w:ascii="Arial" w:cs="Arial" w:eastAsia="Arial" w:hAnsi="Arial"/>
          <w:b/>
          <w:bCs/>
          <w:color w:val="1F4E79"/>
          <w:sz w:val="36"/>
          <w:szCs w:val="36"/>
        </w:rPr>
        <w:t xml:space="preserve">5. Environment Lifecycle &amp; Deployment Pipeline</w:t>
      </w:r>
    </w:p>
    <w:p>
      <w:pPr>
        <w:pStyle w:val="Heading2"/>
        <w:spacing w:after="160" w:before="300"/>
      </w:pPr>
      <w:r>
        <w:rPr>
          <w:rFonts w:ascii="Arial" w:cs="Arial" w:eastAsia="Arial" w:hAnsi="Arial"/>
          <w:b/>
          <w:bCs/>
          <w:color w:val="2E75B6"/>
          <w:sz w:val="28"/>
          <w:szCs w:val="28"/>
        </w:rPr>
        <w:t xml:space="preserve">5.1 Configuration as Code</w:t>
      </w:r>
    </w:p>
    <w:p>
      <w:pPr>
        <w:spacing w:after="80" w:before="80"/>
      </w:pPr>
      <w:r>
        <w:rPr>
          <w:rFonts w:ascii="Arial" w:cs="Arial" w:eastAsia="Arial" w:hAnsi="Arial"/>
          <w:sz w:val="22"/>
          <w:szCs w:val="22"/>
        </w:rPr>
        <w:t xml:space="preserve">Every artifact designed in Studio is serialized to a versionable, deployable file stored in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Artifact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Format &amp; Deployment Mechanism</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Process Definitions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BPMN XML — deployed via Flowable REST API POST /repository/deployments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Form Definitions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JSON Schema — deployed via Platform Form API POST /forms/deploy</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Data Model / Schema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SQL migrations — executed via Flyway with ordered V*.sql scripts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Business Rules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DMN XML / DRL — deployed via KIE Server REST API PUT /containers/{id}</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Integration Flows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Camel K Integration CRs — applied via kubectl in pipeline</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Notification Templates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Freemarker .ftl — deployed via Template API POST /templates/activate</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5.2 App Bundle — Unit of Promotion</w:t>
      </w:r>
    </w:p>
    <w:p>
      <w:pPr>
        <w:spacing w:after="80" w:before="80"/>
      </w:pPr>
      <w:r>
        <w:rPr>
          <w:rFonts w:ascii="Arial" w:cs="Arial" w:eastAsia="Arial" w:hAnsi="Arial"/>
          <w:sz w:val="22"/>
          <w:szCs w:val="22"/>
        </w:rPr>
        <w:t xml:space="preserve">All artifacts are packaged into a versioned App Bundle (ZIP) containing a manifest.yaml. The pipeline unpacks the bundle and calls the appropriate deployment API per artifact type. Environment-specific configuration (URLs, credentials) is resolved at deploy time from Vault.</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5.3 Promotion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Promotion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Gate Requirement</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DEV → SIT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Automatic on merge to main branch</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SIT → UAT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SIT test pass + Tech Lead approval</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UAT → PREPROD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UAT sign-off + Change Advisory Board (CAB) ticket</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PREPROD → PROD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CAB approval + dual approval (Dev Lead + Ops Lead) + change window</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5.4 Privileged Access in Production</w:t>
      </w:r>
    </w:p>
    <w:p>
      <w:pPr>
        <w:spacing w:after="80" w:before="80"/>
      </w:pPr>
      <w:r>
        <w:rPr>
          <w:rFonts w:ascii="Arial" w:cs="Arial" w:eastAsia="Arial" w:hAnsi="Arial"/>
          <w:sz w:val="22"/>
          <w:szCs w:val="22"/>
        </w:rPr>
        <w:t xml:space="preserve">Production access is just-in-time, time-bound, and fully audited via HashiCorp Vault:</w:t>
      </w:r>
    </w:p>
    <w:p>
      <w:pPr>
        <w:pStyle w:val="ListParagraph"/>
        <w:numPr>
          <w:ilvl w:val="0"/>
          <w:numId w:val="2"/>
        </w:numPr>
        <w:spacing w:after="40" w:before="40"/>
      </w:pPr>
      <w:r>
        <w:rPr>
          <w:rFonts w:ascii="Arial" w:cs="Arial" w:eastAsia="Arial" w:hAnsi="Arial"/>
          <w:sz w:val="22"/>
          <w:szCs w:val="22"/>
        </w:rPr>
        <w:t xml:space="preserve">Dynamic DB credentials with 15-minute TTL</w:t>
      </w:r>
    </w:p>
    <w:p>
      <w:pPr>
        <w:pStyle w:val="ListParagraph"/>
        <w:numPr>
          <w:ilvl w:val="0"/>
          <w:numId w:val="2"/>
        </w:numPr>
        <w:spacing w:after="40" w:before="40"/>
      </w:pPr>
      <w:r>
        <w:rPr>
          <w:rFonts w:ascii="Arial" w:cs="Arial" w:eastAsia="Arial" w:hAnsi="Arial"/>
          <w:sz w:val="22"/>
          <w:szCs w:val="22"/>
        </w:rPr>
        <w:t xml:space="preserve">Break-glass procedure requires ITSM ticket + L2 manager approval + session recording</w:t>
      </w:r>
    </w:p>
    <w:p>
      <w:pPr>
        <w:pStyle w:val="ListParagraph"/>
        <w:numPr>
          <w:ilvl w:val="0"/>
          <w:numId w:val="2"/>
        </w:numPr>
        <w:spacing w:after="40" w:before="40"/>
      </w:pPr>
      <w:r>
        <w:rPr>
          <w:rFonts w:ascii="Arial" w:cs="Arial" w:eastAsia="Arial" w:hAnsi="Arial"/>
          <w:sz w:val="22"/>
          <w:szCs w:val="22"/>
        </w:rPr>
        <w:t xml:space="preserve">Auto-revoked after time window expires</w:t>
      </w:r>
    </w:p>
    <w:p>
      <w:pPr>
        <w:pStyle w:val="ListParagraph"/>
        <w:numPr>
          <w:ilvl w:val="0"/>
          <w:numId w:val="2"/>
        </w:numPr>
        <w:spacing w:after="40" w:before="40"/>
      </w:pPr>
      <w:r>
        <w:rPr>
          <w:rFonts w:ascii="Arial" w:cs="Arial" w:eastAsia="Arial" w:hAnsi="Arial"/>
          <w:sz w:val="22"/>
          <w:szCs w:val="22"/>
        </w:rPr>
        <w:t xml:space="preserve">All privileged actions generate HIGH severity audit events sent to SIEM</w:t>
      </w:r>
    </w:p>
    <w:p>
      <w:r>
        <w:br w:type="page"/>
      </w:r>
    </w:p>
    <w:p>
      <w:pPr>
        <w:pStyle w:val="Heading1"/>
        <w:spacing w:after="200" w:before="400"/>
      </w:pPr>
      <w:r>
        <w:rPr>
          <w:rFonts w:ascii="Arial" w:cs="Arial" w:eastAsia="Arial" w:hAnsi="Arial"/>
          <w:b/>
          <w:bCs/>
          <w:color w:val="1F4E79"/>
          <w:sz w:val="36"/>
          <w:szCs w:val="36"/>
        </w:rPr>
        <w:t xml:space="preserve">6. Rollback Strategy</w:t>
      </w:r>
    </w:p>
    <w:p>
      <w:pPr>
        <w:pStyle w:val="Heading2"/>
        <w:spacing w:after="160" w:before="300"/>
      </w:pPr>
      <w:r>
        <w:rPr>
          <w:rFonts w:ascii="Arial" w:cs="Arial" w:eastAsia="Arial" w:hAnsi="Arial"/>
          <w:b/>
          <w:bCs/>
          <w:color w:val="2E75B6"/>
          <w:sz w:val="28"/>
          <w:szCs w:val="28"/>
        </w:rPr>
        <w:t xml:space="preserve">6.1 Core Challenge</w:t>
      </w:r>
    </w:p>
    <w:p>
      <w:pPr>
        <w:spacing w:after="80" w:before="80"/>
      </w:pPr>
      <w:r>
        <w:rPr>
          <w:rFonts w:ascii="Arial" w:cs="Arial" w:eastAsia="Arial" w:hAnsi="Arial"/>
          <w:sz w:val="22"/>
          <w:szCs w:val="22"/>
        </w:rPr>
        <w:t xml:space="preserve">Unlike stateless applications, workflow platforms have in-flight process instances running on deployed versions. Rollback must distinguish between stopping new instances, handling in-flight instances, and compensating DB state changes.</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6.2 Rollback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Artifact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Rollback Speed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In-flight Impact</w:t>
            </w:r>
          </w:p>
        </w:tc>
        <w:tc>
          <w:tcPr>
            <w:tcW w:type="dxa" w:w="24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Risk</w:t>
            </w:r>
          </w:p>
        </w:tc>
      </w:tr>
      <w:tr>
        <w:tc>
          <w:tcPr>
            <w:tcW w:type="dxa" w:w="22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8"/>
                <w:szCs w:val="18"/>
              </w:rPr>
              <w:t xml:space="preserve">Process Definition</w:t>
            </w:r>
          </w:p>
        </w:tc>
        <w:tc>
          <w:tcPr>
            <w:tcW w:type="dxa" w:w="22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Minutes</w:t>
            </w:r>
          </w:p>
        </w:tc>
        <w:tc>
          <w:tcPr>
            <w:tcW w:type="dxa" w:w="25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High — active instances on bad version</w:t>
            </w:r>
          </w:p>
        </w:tc>
        <w:tc>
          <w:tcPr>
            <w:tcW w:type="dxa" w:w="24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8"/>
                <w:szCs w:val="18"/>
              </w:rPr>
              <w:t xml:space="preserve">Form Definition</w:t>
            </w:r>
          </w:p>
        </w:tc>
        <w:tc>
          <w:tcPr>
            <w:tcW w:type="dxa" w:w="22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Seconds</w:t>
            </w:r>
          </w:p>
        </w:tc>
        <w:tc>
          <w:tcPr>
            <w:tcW w:type="dxa" w:w="25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None — only affects new submissions</w:t>
            </w:r>
          </w:p>
        </w:tc>
        <w:tc>
          <w:tcPr>
            <w:tcW w:type="dxa" w:w="24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Low</w:t>
            </w:r>
          </w:p>
        </w:tc>
      </w:tr>
      <w:tr>
        <w:tc>
          <w:tcPr>
            <w:tcW w:type="dxa" w:w="22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8"/>
                <w:szCs w:val="18"/>
              </w:rPr>
              <w:t xml:space="preserve">Schema Migration</w:t>
            </w:r>
          </w:p>
        </w:tc>
        <w:tc>
          <w:tcPr>
            <w:tcW w:type="dxa" w:w="22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Minutes to Hours</w:t>
            </w:r>
          </w:p>
        </w:tc>
        <w:tc>
          <w:tcPr>
            <w:tcW w:type="dxa" w:w="25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High — data risk if destructive</w:t>
            </w:r>
          </w:p>
        </w:tc>
        <w:tc>
          <w:tcPr>
            <w:tcW w:type="dxa" w:w="24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High</w:t>
            </w:r>
          </w:p>
        </w:tc>
      </w:tr>
      <w:tr>
        <w:tc>
          <w:tcPr>
            <w:tcW w:type="dxa" w:w="22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8"/>
                <w:szCs w:val="18"/>
              </w:rPr>
              <w:t xml:space="preserve">Business Rules</w:t>
            </w:r>
          </w:p>
        </w:tc>
        <w:tc>
          <w:tcPr>
            <w:tcW w:type="dxa" w:w="22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Seconds</w:t>
            </w:r>
          </w:p>
        </w:tc>
        <w:tc>
          <w:tcPr>
            <w:tcW w:type="dxa" w:w="25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Low — only future evaluations</w:t>
            </w:r>
          </w:p>
        </w:tc>
        <w:tc>
          <w:tcPr>
            <w:tcW w:type="dxa" w:w="24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Low</w:t>
            </w:r>
          </w:p>
        </w:tc>
      </w:tr>
      <w:tr>
        <w:tc>
          <w:tcPr>
            <w:tcW w:type="dxa" w:w="22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8"/>
                <w:szCs w:val="18"/>
              </w:rPr>
              <w:t xml:space="preserve">Integration Flow</w:t>
            </w:r>
          </w:p>
        </w:tc>
        <w:tc>
          <w:tcPr>
            <w:tcW w:type="dxa" w:w="22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Minutes</w:t>
            </w:r>
          </w:p>
        </w:tc>
        <w:tc>
          <w:tcPr>
            <w:tcW w:type="dxa" w:w="25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Medium — may need Kafka offset reset</w:t>
            </w:r>
          </w:p>
        </w:tc>
        <w:tc>
          <w:tcPr>
            <w:tcW w:type="dxa" w:w="24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8"/>
                <w:szCs w:val="18"/>
              </w:rPr>
              <w:t xml:space="preserve">Notification Template</w:t>
            </w:r>
          </w:p>
        </w:tc>
        <w:tc>
          <w:tcPr>
            <w:tcW w:type="dxa" w:w="22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Seconds</w:t>
            </w:r>
          </w:p>
        </w:tc>
        <w:tc>
          <w:tcPr>
            <w:tcW w:type="dxa" w:w="25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None — sent messages cannot be recalled</w:t>
            </w:r>
          </w:p>
        </w:tc>
        <w:tc>
          <w:tcPr>
            <w:tcW w:type="dxa" w:w="24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8"/>
                <w:szCs w:val="18"/>
              </w:rPr>
              <w:t xml:space="preserve">Low</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6.3 In-Flight Process Instance Strategies</w:t>
      </w:r>
    </w:p>
    <w:p>
      <w:pPr>
        <w:pStyle w:val="ListParagraph"/>
        <w:numPr>
          <w:ilvl w:val="0"/>
          <w:numId w:val="2"/>
        </w:numPr>
        <w:spacing w:after="40" w:before="40"/>
      </w:pPr>
      <w:r>
        <w:rPr>
          <w:rFonts w:ascii="Arial" w:cs="Arial" w:eastAsia="Arial" w:hAnsi="Arial"/>
          <w:sz w:val="22"/>
          <w:szCs w:val="22"/>
        </w:rPr>
        <w:t xml:space="preserve">Option A — Let complete on current version: Use when bug is non-critical and instances are near completion.</w:t>
      </w:r>
    </w:p>
    <w:p>
      <w:pPr>
        <w:pStyle w:val="ListParagraph"/>
        <w:numPr>
          <w:ilvl w:val="0"/>
          <w:numId w:val="2"/>
        </w:numPr>
        <w:spacing w:after="40" w:before="40"/>
      </w:pPr>
      <w:r>
        <w:rPr>
          <w:rFonts w:ascii="Arial" w:cs="Arial" w:eastAsia="Arial" w:hAnsi="Arial"/>
          <w:sz w:val="22"/>
          <w:szCs w:val="22"/>
        </w:rPr>
        <w:t xml:space="preserve">Option B — Migrate to previous version via Flowable process instance migration API: Use when bug affects remaining steps critically.</w:t>
      </w:r>
    </w:p>
    <w:p>
      <w:pPr>
        <w:pStyle w:val="ListParagraph"/>
        <w:numPr>
          <w:ilvl w:val="0"/>
          <w:numId w:val="2"/>
        </w:numPr>
        <w:spacing w:after="40" w:before="40"/>
      </w:pPr>
      <w:r>
        <w:rPr>
          <w:rFonts w:ascii="Arial" w:cs="Arial" w:eastAsia="Arial" w:hAnsi="Arial"/>
          <w:sz w:val="22"/>
          <w:szCs w:val="22"/>
        </w:rPr>
        <w:t xml:space="preserve">Option C — Terminate and restart on previous version: Use only for P1 with clean compensation. Highest risk.</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6.4 Expand-Contract Pattern for Schema Changes</w:t>
      </w:r>
    </w:p>
    <w:p>
      <w:pPr>
        <w:spacing w:after="80" w:before="80"/>
      </w:pPr>
      <w:r>
        <w:rPr>
          <w:rFonts w:ascii="Arial" w:cs="Arial" w:eastAsia="Arial" w:hAnsi="Arial"/>
          <w:sz w:val="22"/>
          <w:szCs w:val="22"/>
        </w:rPr>
        <w:t xml:space="preserve">Never drop or rename columns in a single migration. Use the expand-contract pattern:</w:t>
      </w:r>
    </w:p>
    <w:p>
      <w:pPr>
        <w:pStyle w:val="ListParagraph"/>
        <w:numPr>
          <w:ilvl w:val="0"/>
          <w:numId w:val="2"/>
        </w:numPr>
        <w:spacing w:after="40" w:before="40"/>
      </w:pPr>
      <w:r>
        <w:rPr>
          <w:rFonts w:ascii="Arial" w:cs="Arial" w:eastAsia="Arial" w:hAnsi="Arial"/>
          <w:sz w:val="22"/>
          <w:szCs w:val="22"/>
        </w:rPr>
        <w:t xml:space="preserve">Step 1 (deploy): ADD new column, dual-write in application code</w:t>
      </w:r>
    </w:p>
    <w:p>
      <w:pPr>
        <w:pStyle w:val="ListParagraph"/>
        <w:numPr>
          <w:ilvl w:val="0"/>
          <w:numId w:val="2"/>
        </w:numPr>
        <w:spacing w:after="40" w:before="40"/>
      </w:pPr>
      <w:r>
        <w:rPr>
          <w:rFonts w:ascii="Arial" w:cs="Arial" w:eastAsia="Arial" w:hAnsi="Arial"/>
          <w:sz w:val="22"/>
          <w:szCs w:val="22"/>
        </w:rPr>
        <w:t xml:space="preserve">Step 2 (verify): Confirm new column has correct data</w:t>
      </w:r>
    </w:p>
    <w:p>
      <w:pPr>
        <w:pStyle w:val="ListParagraph"/>
        <w:numPr>
          <w:ilvl w:val="0"/>
          <w:numId w:val="2"/>
        </w:numPr>
        <w:spacing w:after="40" w:before="40"/>
      </w:pPr>
      <w:r>
        <w:rPr>
          <w:rFonts w:ascii="Arial" w:cs="Arial" w:eastAsia="Arial" w:hAnsi="Arial"/>
          <w:sz w:val="22"/>
          <w:szCs w:val="22"/>
        </w:rPr>
        <w:t xml:space="preserve">Step 3 (cleanup): DROP old column in next release cycle</w:t>
      </w:r>
    </w:p>
    <w:p>
      <w:r>
        <w:br w:type="page"/>
      </w:r>
    </w:p>
    <w:p>
      <w:pPr>
        <w:pStyle w:val="Heading1"/>
        <w:spacing w:after="200" w:before="400"/>
      </w:pPr>
      <w:r>
        <w:rPr>
          <w:rFonts w:ascii="Arial" w:cs="Arial" w:eastAsia="Arial" w:hAnsi="Arial"/>
          <w:b/>
          <w:bCs/>
          <w:color w:val="1F4E79"/>
          <w:sz w:val="36"/>
          <w:szCs w:val="36"/>
        </w:rPr>
        <w:t xml:space="preserve">7. Audit &amp; Compliance Trail</w:t>
      </w:r>
    </w:p>
    <w:p>
      <w:pPr>
        <w:pStyle w:val="Heading2"/>
        <w:spacing w:after="160" w:before="300"/>
      </w:pPr>
      <w:r>
        <w:rPr>
          <w:rFonts w:ascii="Arial" w:cs="Arial" w:eastAsia="Arial" w:hAnsi="Arial"/>
          <w:b/>
          <w:bCs/>
          <w:color w:val="2E75B6"/>
          <w:sz w:val="28"/>
          <w:szCs w:val="28"/>
        </w:rPr>
        <w:t xml:space="preserve">7.1 Audit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What Is Captured</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Studio Audit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Who changed which artifact, git SHA, PR approvals, branch, commit</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Deployment Audit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Full lineage: commit → PR → SIT → UAT → PROD with approver chain</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Process Audit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Every state transition of every process instance</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Task Audit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Claim, reassign, complete, escalate, delegate with timestamps and actors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Business Data Audit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Field-level before/after changes on every business entity write</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Sensitive Field Access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Every read of PII/Financial fields, with access purpose from JWT</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Privileged Access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Break-glass grants, queries executed, session recordings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Integration Audit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Every outbound call, response, retry attempt, dead-letter</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7.2 Tamper-Proof Mechanisms</w:t>
      </w:r>
    </w:p>
    <w:p>
      <w:pPr>
        <w:pStyle w:val="ListParagraph"/>
        <w:numPr>
          <w:ilvl w:val="0"/>
          <w:numId w:val="2"/>
        </w:numPr>
        <w:spacing w:after="40" w:before="40"/>
      </w:pPr>
      <w:r>
        <w:rPr>
          <w:rFonts w:ascii="Arial" w:cs="Arial" w:eastAsia="Arial" w:hAnsi="Arial"/>
          <w:sz w:val="22"/>
          <w:szCs w:val="22"/>
        </w:rPr>
        <w:t xml:space="preserve">Append-only ClickHouse storage — INSERT-only DB user for audit writer</w:t>
      </w:r>
    </w:p>
    <w:p>
      <w:pPr>
        <w:pStyle w:val="ListParagraph"/>
        <w:numPr>
          <w:ilvl w:val="0"/>
          <w:numId w:val="2"/>
        </w:numPr>
        <w:spacing w:after="40" w:before="40"/>
      </w:pPr>
      <w:r>
        <w:rPr>
          <w:rFonts w:ascii="Arial" w:cs="Arial" w:eastAsia="Arial" w:hAnsi="Arial"/>
          <w:sz w:val="22"/>
          <w:szCs w:val="22"/>
        </w:rPr>
        <w:t xml:space="preserve">SHA-256 cryptographic chaining — each event contains hash of previous event</w:t>
      </w:r>
    </w:p>
    <w:p>
      <w:pPr>
        <w:pStyle w:val="ListParagraph"/>
        <w:numPr>
          <w:ilvl w:val="0"/>
          <w:numId w:val="2"/>
        </w:numPr>
        <w:spacing w:after="40" w:before="40"/>
      </w:pPr>
      <w:r>
        <w:rPr>
          <w:rFonts w:ascii="Arial" w:cs="Arial" w:eastAsia="Arial" w:hAnsi="Arial"/>
          <w:sz w:val="22"/>
          <w:szCs w:val="22"/>
        </w:rPr>
        <w:t xml:space="preserve">WORM object storage — daily snapshots to GCS/S3 with Object Lock (7-year retention)</w:t>
      </w:r>
    </w:p>
    <w:p>
      <w:pPr>
        <w:pStyle w:val="ListParagraph"/>
        <w:numPr>
          <w:ilvl w:val="0"/>
          <w:numId w:val="2"/>
        </w:numPr>
        <w:spacing w:after="40" w:before="40"/>
      </w:pPr>
      <w:r>
        <w:rPr>
          <w:rFonts w:ascii="Arial" w:cs="Arial" w:eastAsia="Arial" w:hAnsi="Arial"/>
          <w:sz w:val="22"/>
          <w:szCs w:val="22"/>
        </w:rPr>
        <w:t xml:space="preserve">External witness option — event hashes published to Azure Confidential Ledger / QLDB</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7.3 Business Data Audit</w:t>
      </w:r>
    </w:p>
    <w:p>
      <w:pPr>
        <w:spacing w:after="80" w:before="80"/>
      </w:pPr>
      <w:r>
        <w:rPr>
          <w:rFonts w:ascii="Arial" w:cs="Arial" w:eastAsia="Arial" w:hAnsi="Arial"/>
          <w:sz w:val="22"/>
          <w:szCs w:val="22"/>
        </w:rPr>
        <w:t xml:space="preserve">Business data audit is tenant-configurable per entity and per field via Studio:</w:t>
      </w:r>
    </w:p>
    <w:p>
      <w:pPr>
        <w:pStyle w:val="ListParagraph"/>
        <w:numPr>
          <w:ilvl w:val="0"/>
          <w:numId w:val="2"/>
        </w:numPr>
        <w:spacing w:after="40" w:before="40"/>
      </w:pPr>
      <w:r>
        <w:rPr>
          <w:rFonts w:ascii="Arial" w:cs="Arial" w:eastAsia="Arial" w:hAnsi="Arial"/>
          <w:sz w:val="22"/>
          <w:szCs w:val="22"/>
        </w:rPr>
        <w:t xml:space="preserve">Tenant defines which fields are audited, masked, or read-logged in the Data Modeler</w:t>
      </w:r>
    </w:p>
    <w:p>
      <w:pPr>
        <w:pStyle w:val="ListParagraph"/>
        <w:numPr>
          <w:ilvl w:val="0"/>
          <w:numId w:val="2"/>
        </w:numPr>
        <w:spacing w:after="40" w:before="40"/>
      </w:pPr>
      <w:r>
        <w:rPr>
          <w:rFonts w:ascii="Arial" w:cs="Arial" w:eastAsia="Arial" w:hAnsi="Arial"/>
          <w:sz w:val="22"/>
          <w:szCs w:val="22"/>
        </w:rPr>
        <w:t xml:space="preserve">AuditInterceptor (AOP) captures before/after snapshots on every write</w:t>
      </w:r>
    </w:p>
    <w:p>
      <w:pPr>
        <w:pStyle w:val="ListParagraph"/>
        <w:numPr>
          <w:ilvl w:val="0"/>
          <w:numId w:val="2"/>
        </w:numPr>
        <w:spacing w:after="40" w:before="40"/>
      </w:pPr>
      <w:r>
        <w:rPr>
          <w:rFonts w:ascii="Arial" w:cs="Arial" w:eastAsia="Arial" w:hAnsi="Arial"/>
          <w:sz w:val="22"/>
          <w:szCs w:val="22"/>
        </w:rPr>
        <w:t xml:space="preserve">Field diff engine computes changed fields only — minimizes storage</w:t>
      </w:r>
    </w:p>
    <w:p>
      <w:pPr>
        <w:pStyle w:val="ListParagraph"/>
        <w:numPr>
          <w:ilvl w:val="0"/>
          <w:numId w:val="2"/>
        </w:numPr>
        <w:spacing w:after="40" w:before="40"/>
      </w:pPr>
      <w:r>
        <w:rPr>
          <w:rFonts w:ascii="Arial" w:cs="Arial" w:eastAsia="Arial" w:hAnsi="Arial"/>
          <w:sz w:val="22"/>
          <w:szCs w:val="22"/>
        </w:rPr>
        <w:t xml:space="preserve">PII fields stored masked (e.g. ABCDE****F); access to unmasked values requires elevated scope</w:t>
      </w:r>
    </w:p>
    <w:p>
      <w:pPr>
        <w:pStyle w:val="ListParagraph"/>
        <w:numPr>
          <w:ilvl w:val="0"/>
          <w:numId w:val="2"/>
        </w:numPr>
        <w:spacing w:after="40" w:before="40"/>
      </w:pPr>
      <w:r>
        <w:rPr>
          <w:rFonts w:ascii="Arial" w:cs="Arial" w:eastAsia="Arial" w:hAnsi="Arial"/>
          <w:sz w:val="22"/>
          <w:szCs w:val="22"/>
        </w:rPr>
        <w:t xml:space="preserve">Sensitive field reads logged separately with access_purpose claim from JWT</w:t>
      </w:r>
    </w:p>
    <w:p>
      <w:pPr>
        <w:pStyle w:val="ListParagraph"/>
        <w:numPr>
          <w:ilvl w:val="0"/>
          <w:numId w:val="2"/>
        </w:numPr>
        <w:spacing w:after="40" w:before="40"/>
      </w:pPr>
      <w:r>
        <w:rPr>
          <w:rFonts w:ascii="Arial" w:cs="Arial" w:eastAsia="Arial" w:hAnsi="Arial"/>
          <w:sz w:val="22"/>
          <w:szCs w:val="22"/>
        </w:rPr>
        <w:t xml:space="preserve">Point-in-time entity reconstruction available via audit replay API</w:t>
      </w:r>
    </w:p>
    <w:p>
      <w:r>
        <w:br w:type="page"/>
      </w:r>
    </w:p>
    <w:p>
      <w:pPr>
        <w:pStyle w:val="Heading1"/>
        <w:spacing w:after="200" w:before="400"/>
      </w:pPr>
      <w:r>
        <w:rPr>
          <w:rFonts w:ascii="Arial" w:cs="Arial" w:eastAsia="Arial" w:hAnsi="Arial"/>
          <w:b/>
          <w:bCs/>
          <w:color w:val="1F4E79"/>
          <w:sz w:val="36"/>
          <w:szCs w:val="36"/>
        </w:rPr>
        <w:t xml:space="preserve">8. Entitlements — Three-Dimensional Access Control</w:t>
      </w:r>
    </w:p>
    <w:p>
      <w:pPr>
        <w:pStyle w:val="Heading2"/>
        <w:spacing w:after="160" w:before="300"/>
      </w:pPr>
      <w:r>
        <w:rPr>
          <w:rFonts w:ascii="Arial" w:cs="Arial" w:eastAsia="Arial" w:hAnsi="Arial"/>
          <w:b/>
          <w:bCs/>
          <w:color w:val="2E75B6"/>
          <w:sz w:val="28"/>
          <w:szCs w:val="28"/>
        </w:rPr>
        <w:t xml:space="preserve">8.1 Entitlement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Functional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What operations can this user perform? Coarse-grained, role-based. Example: can start process, can approve task, can export report.</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Data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Which records can this user see and act on? Fine-grained, attribute-based, row-level. Example: only loans from own branch, only loans up to sanctioning limit.</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Field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Within a record, which fields can this user read or write? Most granular, per-field, per-role. Example: can see loan amount but not internal credit score, PAN shown masked.</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8.2 Functional Entitlements</w:t>
      </w:r>
    </w:p>
    <w:p>
      <w:pPr>
        <w:spacing w:after="80" w:before="80"/>
      </w:pPr>
      <w:r>
        <w:rPr>
          <w:rFonts w:ascii="Arial" w:cs="Arial" w:eastAsia="Arial" w:hAnsi="Arial"/>
          <w:sz w:val="22"/>
          <w:szCs w:val="22"/>
        </w:rPr>
        <w:t xml:space="preserve">Permissions follow the pattern platform:{resource}:{action}. Examples:</w:t>
      </w:r>
    </w:p>
    <w:p>
      <w:pPr>
        <w:pStyle w:val="ListParagraph"/>
        <w:numPr>
          <w:ilvl w:val="0"/>
          <w:numId w:val="2"/>
        </w:numPr>
        <w:spacing w:after="40" w:before="40"/>
      </w:pPr>
      <w:r>
        <w:rPr>
          <w:rFonts w:ascii="Arial" w:cs="Arial" w:eastAsia="Arial" w:hAnsi="Arial"/>
          <w:sz w:val="22"/>
          <w:szCs w:val="22"/>
        </w:rPr>
        <w:t xml:space="preserve">platform:process:start — can initiate a new process instance</w:t>
      </w:r>
    </w:p>
    <w:p>
      <w:pPr>
        <w:pStyle w:val="ListParagraph"/>
        <w:numPr>
          <w:ilvl w:val="0"/>
          <w:numId w:val="2"/>
        </w:numPr>
        <w:spacing w:after="40" w:before="40"/>
      </w:pPr>
      <w:r>
        <w:rPr>
          <w:rFonts w:ascii="Arial" w:cs="Arial" w:eastAsia="Arial" w:hAnsi="Arial"/>
          <w:sz w:val="22"/>
          <w:szCs w:val="22"/>
        </w:rPr>
        <w:t xml:space="preserve">platform:task:claim — can claim tasks from group queue</w:t>
      </w:r>
    </w:p>
    <w:p>
      <w:pPr>
        <w:pStyle w:val="ListParagraph"/>
        <w:numPr>
          <w:ilvl w:val="0"/>
          <w:numId w:val="2"/>
        </w:numPr>
        <w:spacing w:after="40" w:before="40"/>
      </w:pPr>
      <w:r>
        <w:rPr>
          <w:rFonts w:ascii="Arial" w:cs="Arial" w:eastAsia="Arial" w:hAnsi="Arial"/>
          <w:sz w:val="22"/>
          <w:szCs w:val="22"/>
        </w:rPr>
        <w:t xml:space="preserve">platform:task:complete — can complete claimed tasks</w:t>
      </w:r>
    </w:p>
    <w:p>
      <w:pPr>
        <w:pStyle w:val="ListParagraph"/>
        <w:numPr>
          <w:ilvl w:val="0"/>
          <w:numId w:val="2"/>
        </w:numPr>
        <w:spacing w:after="40" w:before="40"/>
      </w:pPr>
      <w:r>
        <w:rPr>
          <w:rFonts w:ascii="Arial" w:cs="Arial" w:eastAsia="Arial" w:hAnsi="Arial"/>
          <w:sz w:val="22"/>
          <w:szCs w:val="22"/>
        </w:rPr>
        <w:t xml:space="preserve">platform:report:export — can download data exports</w:t>
      </w:r>
    </w:p>
    <w:p>
      <w:pPr>
        <w:pStyle w:val="ListParagraph"/>
        <w:numPr>
          <w:ilvl w:val="0"/>
          <w:numId w:val="2"/>
        </w:numPr>
        <w:spacing w:after="40" w:before="40"/>
      </w:pPr>
      <w:r>
        <w:rPr>
          <w:rFonts w:ascii="Arial" w:cs="Arial" w:eastAsia="Arial" w:hAnsi="Arial"/>
          <w:sz w:val="22"/>
          <w:szCs w:val="22"/>
        </w:rPr>
        <w:t xml:space="preserve">platform:studio:process:edit — can edit process definitions in Studio</w:t>
      </w:r>
    </w:p>
    <w:p>
      <w:pPr>
        <w:spacing w:after="80" w:before="80"/>
      </w:pPr>
      <w:r>
        <w:rPr>
          <w:rFonts w:ascii="Arial" w:cs="Arial" w:eastAsia="Arial" w:hAnsi="Arial"/>
          <w:sz w:val="22"/>
          <w:szCs w:val="22"/>
        </w:rPr>
        <w:t xml:space="preserve">Roles aggregate permissions. Child roles inherit parent role permissions. Conflict resolution: ALLOW wins over DENY.</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8.3 Data Level Entitlements</w:t>
      </w:r>
    </w:p>
    <w:p>
      <w:pPr>
        <w:spacing w:after="80" w:before="80"/>
      </w:pPr>
      <w:r>
        <w:rPr>
          <w:rFonts w:ascii="Arial" w:cs="Arial" w:eastAsia="Arial" w:hAnsi="Arial"/>
          <w:sz w:val="22"/>
          <w:szCs w:val="22"/>
        </w:rPr>
        <w:t xml:space="preserve">Data policies are defined in Studio per role per entity type. Conditions reference actor attributes at runtime:</w:t>
      </w:r>
    </w:p>
    <w:p>
      <w:pPr>
        <w:spacing w:after="60" w:before="60"/>
        <w:ind w:left="360"/>
      </w:pPr>
      <w:r>
        <w:rPr>
          <w:rFonts w:ascii="Courier New" w:cs="Courier New" w:eastAsia="Courier New" w:hAnsi="Courier New"/>
          <w:color w:val="333333"/>
          <w:sz w:val="18"/>
          <w:szCs w:val="18"/>
        </w:rPr>
        <w:t xml:space="preserve">L1_APPROVER READ LoanApplication:</w:t>
      </w:r>
    </w:p>
    <w:p>
      <w:pPr>
        <w:spacing w:after="60" w:before="60"/>
        <w:ind w:left="360"/>
      </w:pPr>
      <w:r>
        <w:rPr>
          <w:rFonts w:ascii="Courier New" w:cs="Courier New" w:eastAsia="Courier New" w:hAnsi="Courier New"/>
          <w:color w:val="333333"/>
          <w:sz w:val="18"/>
          <w:szCs w:val="18"/>
        </w:rPr>
        <w:t xml:space="preserve">  branchId = '${actor.attributes.branchId}'</w:t>
      </w:r>
    </w:p>
    <w:p>
      <w:pPr>
        <w:spacing w:after="60" w:before="60"/>
        <w:ind w:left="360"/>
      </w:pPr>
      <w:r>
        <w:rPr>
          <w:rFonts w:ascii="Courier New" w:cs="Courier New" w:eastAsia="Courier New" w:hAnsi="Courier New"/>
          <w:color w:val="333333"/>
          <w:sz w:val="18"/>
          <w:szCs w:val="18"/>
        </w:rPr>
        <w:t xml:space="preserve">  AND loanAmount &lt;= ${actor.attributes.sanctioningLimit}</w:t>
      </w:r>
    </w:p>
    <w:p>
      <w:pPr>
        <w:spacing w:after="60" w:before="60"/>
        <w:ind w:left="360"/>
      </w:pPr>
      <w:r>
        <w:rPr>
          <w:rFonts w:ascii="Courier New" w:cs="Courier New" w:eastAsia="Courier New" w:hAnsi="Courier New"/>
          <w:color w:val="333333"/>
          <w:sz w:val="18"/>
          <w:szCs w:val="18"/>
        </w:rPr>
        <w:t xml:space="preserve">  AND status NOT IN ['DRAFT', 'SYSTEM_HOLD']</w:t>
      </w:r>
    </w:p>
    <w:p>
      <w:pPr>
        <w:spacing w:after="80" w:before="80"/>
      </w:pPr>
      <w:r>
        <w:rPr>
          <w:rFonts w:ascii="Arial" w:cs="Arial" w:eastAsia="Arial" w:hAnsi="Arial"/>
          <w:sz w:val="22"/>
          <w:szCs w:val="22"/>
        </w:rPr>
        <w:t xml:space="preserve">Enforcement is three-layered: query predicate injection (list queries), post-fetch assertion (single record), and PostgreSQL Row Level Security (Starter tier shared schema).</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8.4 Field Level Entitlements</w:t>
      </w:r>
    </w:p>
    <w:p>
      <w:pPr>
        <w:spacing w:after="80" w:before="80"/>
      </w:pPr>
      <w:r>
        <w:rPr>
          <w:rFonts w:ascii="Arial" w:cs="Arial" w:eastAsia="Arial" w:hAnsi="Arial"/>
          <w:sz w:val="22"/>
          <w:szCs w:val="22"/>
        </w:rPr>
        <w:t xml:space="preserve">Field policies define read/write access per field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ALLOW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Field included in response or accepted in write</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DENY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Field omitted from response entirely; write rejected with 403</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MASKED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Read: field present but value masked (e.g. PAN****). Write: always DENY</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CONDITIONAL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Write allowed only when runtime condition evaluates to true</w:t>
            </w:r>
          </w:p>
        </w:tc>
      </w:tr>
    </w:tbl>
    <w:p>
      <w:pPr>
        <w:spacing w:after="80" w:before="80"/>
      </w:pPr>
      <w:r>
        <w:rPr>
          <w:rFonts w:ascii="Arial" w:cs="Arial" w:eastAsia="Arial" w:hAnsi="Arial"/>
          <w:sz w:val="22"/>
          <w:szCs w:val="22"/>
        </w:rPr>
        <w:t xml:space="preserve">Field policies are enforced in four places: response filtering (every GET), request filtering (every PATCH/POST), form rendering (Portal hides/disables fields), and Studio preview (Preview as Role feature).</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8.5 Caching Strategy</w:t>
      </w:r>
    </w:p>
    <w:p>
      <w:pPr>
        <w:spacing w:after="80" w:before="80"/>
      </w:pPr>
      <w:r>
        <w:rPr>
          <w:rFonts w:ascii="Arial" w:cs="Arial" w:eastAsia="Arial" w:hAnsi="Arial"/>
          <w:sz w:val="22"/>
          <w:szCs w:val="22"/>
        </w:rPr>
        <w:t xml:space="preserve">Entitlement evaluation target: under 2ms per request on cache hit. Two-tier cache:</w:t>
      </w:r>
    </w:p>
    <w:p>
      <w:pPr>
        <w:pStyle w:val="ListParagraph"/>
        <w:numPr>
          <w:ilvl w:val="0"/>
          <w:numId w:val="2"/>
        </w:numPr>
        <w:spacing w:after="40" w:before="40"/>
      </w:pPr>
      <w:r>
        <w:rPr>
          <w:rFonts w:ascii="Arial" w:cs="Arial" w:eastAsia="Arial" w:hAnsi="Arial"/>
          <w:sz w:val="22"/>
          <w:szCs w:val="22"/>
        </w:rPr>
        <w:t xml:space="preserve">L1: In-process Caffeine cache — effective permissions per user (TTL 5 min), compiled data policy (TTL 15 min), field entitlements (TTL 15 min)</w:t>
      </w:r>
    </w:p>
    <w:p>
      <w:pPr>
        <w:pStyle w:val="ListParagraph"/>
        <w:numPr>
          <w:ilvl w:val="0"/>
          <w:numId w:val="2"/>
        </w:numPr>
        <w:spacing w:after="40" w:before="40"/>
      </w:pPr>
      <w:r>
        <w:rPr>
          <w:rFonts w:ascii="Arial" w:cs="Arial" w:eastAsia="Arial" w:hAnsi="Arial"/>
          <w:sz w:val="22"/>
          <w:szCs w:val="22"/>
        </w:rPr>
        <w:t xml:space="preserve">L2: Redis tenant-scoped — role to permission set (TTL 30 min), compiled SQL predicate (TTL 1 hour)</w:t>
      </w:r>
    </w:p>
    <w:p>
      <w:pPr>
        <w:pStyle w:val="ListParagraph"/>
        <w:numPr>
          <w:ilvl w:val="0"/>
          <w:numId w:val="2"/>
        </w:numPr>
        <w:spacing w:after="40" w:before="40"/>
      </w:pPr>
      <w:r>
        <w:rPr>
          <w:rFonts w:ascii="Arial" w:cs="Arial" w:eastAsia="Arial" w:hAnsi="Arial"/>
          <w:sz w:val="22"/>
          <w:szCs w:val="22"/>
        </w:rPr>
        <w:t xml:space="preserve">Cache invalidation: any role, data policy, or field policy change flushes relevant cache keys immediately</w:t>
      </w:r>
    </w:p>
    <w:p>
      <w:r>
        <w:br w:type="page"/>
      </w:r>
    </w:p>
    <w:p>
      <w:pPr>
        <w:pStyle w:val="Heading1"/>
        <w:spacing w:after="200" w:before="400"/>
      </w:pPr>
      <w:r>
        <w:rPr>
          <w:rFonts w:ascii="Arial" w:cs="Arial" w:eastAsia="Arial" w:hAnsi="Arial"/>
          <w:b/>
          <w:bCs/>
          <w:color w:val="1F4E79"/>
          <w:sz w:val="36"/>
          <w:szCs w:val="36"/>
        </w:rPr>
        <w:t xml:space="preserve">9. Studio Architecture</w:t>
      </w:r>
    </w:p>
    <w:p>
      <w:pPr>
        <w:pStyle w:val="Heading2"/>
        <w:spacing w:after="160" w:before="300"/>
      </w:pPr>
      <w:r>
        <w:rPr>
          <w:rFonts w:ascii="Arial" w:cs="Arial" w:eastAsia="Arial" w:hAnsi="Arial"/>
          <w:b/>
          <w:bCs/>
          <w:color w:val="2E75B6"/>
          <w:sz w:val="28"/>
          <w:szCs w:val="28"/>
        </w:rPr>
        <w:t xml:space="preserve">9.1 What Studio Produces</w:t>
      </w:r>
    </w:p>
    <w:p>
      <w:pPr>
        <w:spacing w:after="80" w:before="80"/>
      </w:pPr>
      <w:r>
        <w:rPr>
          <w:rFonts w:ascii="Arial" w:cs="Arial" w:eastAsia="Arial" w:hAnsi="Arial"/>
          <w:sz w:val="22"/>
          <w:szCs w:val="22"/>
        </w:rPr>
        <w:t xml:space="preserve">Studio is a meta-application. It does not run business logic — it produces definitions that the runtime executes. Everything built in Studio serializes to JSON, XML, or YAML artifacts stored in Git and deployed to runtime environments via CI/CD pipelines.</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9.2 Studio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Output Artifact</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Process Modeler (BPMN.js)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BPMN 2.0 XML — deployed to Flowable engine</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Form Designer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JSON Schema + UI Schema — deployed to Form Service</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Data Modeler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Entity YAML + Flyway SQL migrations — applied to tenant DB schema</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Rule Editor (DMN.js)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DMN XML / DRL — deployed to KIE Server</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Integration Builder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Camel route Java / n8n JSON — deployed as K8s Integration CR</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Page Builder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Page JSON — deployed to Portal renderer</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Role Manager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Role YAML + data policy YAML + field policy YAML</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App Composer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manifest.yaml — assembles all artifacts into versioned App Bundle</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Deployment Manager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Triggers CI/CD pipeline; shows promotion status per environment</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9.3 Artifact Lifecycle</w:t>
      </w:r>
    </w:p>
    <w:p>
      <w:pPr>
        <w:spacing w:after="80" w:before="80"/>
      </w:pPr>
      <w:r>
        <w:rPr>
          <w:rFonts w:ascii="Arial" w:cs="Arial" w:eastAsia="Arial" w:hAnsi="Arial"/>
          <w:sz w:val="22"/>
          <w:szCs w:val="22"/>
        </w:rPr>
        <w:t xml:space="preserve">Every artifact follows a status lifecycle: DRAFT → REVIEW → APPROVED → DEPLOYED → ARCHIVED. Only APPROVED artifacts can be included in an App Bundle. Deployment to UAT+ is only possible via the pipeline — Studio edit controls are disabled in those environments.</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9.4 Version Control — Git-Backed</w:t>
      </w:r>
    </w:p>
    <w:p>
      <w:pPr>
        <w:spacing w:after="80" w:before="80"/>
      </w:pPr>
      <w:r>
        <w:rPr>
          <w:rFonts w:ascii="Arial" w:cs="Arial" w:eastAsia="Arial" w:hAnsi="Arial"/>
          <w:sz w:val="22"/>
          <w:szCs w:val="22"/>
        </w:rPr>
        <w:t xml:space="preserve">Artifact content lives in Git (one repository per tenant or shared with tenant prefix). Studio backend is the sole writer. Every save produces a Git commit with the author, timestamp, and artifact key. Diff view is available in Studio via Monaco Editor (VS Code engine).</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9.5 Real-Time Collaboration</w:t>
      </w:r>
    </w:p>
    <w:p>
      <w:pPr>
        <w:spacing w:after="80" w:before="80"/>
      </w:pPr>
      <w:r>
        <w:rPr>
          <w:rFonts w:ascii="Arial" w:cs="Arial" w:eastAsia="Arial" w:hAnsi="Arial"/>
          <w:sz w:val="22"/>
          <w:szCs w:val="22"/>
        </w:rPr>
        <w:t xml:space="preserve">Soft locking via Redis (5-minute TTL, refreshed on activity). WebSocket presence broadcast. Conflict detection on concurrent saves via Git SHA comparison. Merge conflict resolution UI presented to second author.</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9.6 Studio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Frontend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React 18 + TypeScript</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Process Modeler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BPMN.js with custom platform extensions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Rule Editor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DMN.js (Camunda open source)</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Form Designer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Custom React DnD (react-dnd)</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State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Zustand (per-module stores)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Real-time Collaboration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WebSocket (SockJS + STOMP)</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Backend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Spring Boot 3</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Git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JGit (embedded)</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Artifact Registry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JFrog Artifactory / Nexus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Lock &amp; Presence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Redis</w:t>
            </w:r>
          </w:p>
        </w:tc>
      </w:tr>
    </w:tbl>
    <w:p>
      <w:r>
        <w:br w:type="page"/>
      </w:r>
    </w:p>
    <w:p>
      <w:pPr>
        <w:pStyle w:val="Heading1"/>
        <w:spacing w:after="200" w:before="400"/>
      </w:pPr>
      <w:r>
        <w:rPr>
          <w:rFonts w:ascii="Arial" w:cs="Arial" w:eastAsia="Arial" w:hAnsi="Arial"/>
          <w:b/>
          <w:bCs/>
          <w:color w:val="1F4E79"/>
          <w:sz w:val="36"/>
          <w:szCs w:val="36"/>
        </w:rPr>
        <w:t xml:space="preserve">10. Scaling Strategy</w:t>
      </w:r>
    </w:p>
    <w:p>
      <w:pPr>
        <w:pStyle w:val="Heading2"/>
        <w:spacing w:after="160" w:before="300"/>
      </w:pPr>
      <w:r>
        <w:rPr>
          <w:rFonts w:ascii="Arial" w:cs="Arial" w:eastAsia="Arial" w:hAnsi="Arial"/>
          <w:b/>
          <w:bCs/>
          <w:color w:val="2E75B6"/>
          <w:sz w:val="28"/>
          <w:szCs w:val="28"/>
        </w:rPr>
        <w:t xml:space="preserve">10.1 Flowable Engine Clustering</w:t>
      </w:r>
    </w:p>
    <w:p>
      <w:pPr>
        <w:spacing w:after="80" w:before="80"/>
      </w:pPr>
      <w:r>
        <w:rPr>
          <w:rFonts w:ascii="Arial" w:cs="Arial" w:eastAsia="Arial" w:hAnsi="Arial"/>
          <w:sz w:val="22"/>
          <w:szCs w:val="22"/>
        </w:rPr>
        <w:t xml:space="preserve">All engine nodes share a PostgreSQL database and compete for jobs via DB-level locking using FOR UPDATE SKIP LOCKED. This provides safe multi-node job acquisition without a separate coordination service (no ZooKeeper required).</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10.2 Job Executor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Enterprise / Professional / Starter</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corePoolSize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16 / 8 / 4</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maxPoolSize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64 / 32 / 8</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maxJobsPerAcquisition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40 / 20 / 10</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lockPollRate (ms)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250 / 500 / 1000</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lockDuration (ms)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300,000 (all tiers)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Async History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Yes / Yes / No</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Engine Replicas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3–10 / 2 / Shared</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10.3 Burst Absorption</w:t>
      </w:r>
    </w:p>
    <w:p>
      <w:pPr>
        <w:spacing w:after="80" w:before="80"/>
      </w:pPr>
      <w:r>
        <w:rPr>
          <w:rFonts w:ascii="Arial" w:cs="Arial" w:eastAsia="Arial" w:hAnsi="Arial"/>
          <w:sz w:val="22"/>
          <w:szCs w:val="22"/>
        </w:rPr>
        <w:t xml:space="preserve">Process starts during burst periods (e.g. end-of-month batch) are absorbed via Kafka:</w:t>
      </w:r>
    </w:p>
    <w:p>
      <w:pPr>
        <w:pStyle w:val="ListParagraph"/>
        <w:numPr>
          <w:ilvl w:val="0"/>
          <w:numId w:val="2"/>
        </w:numPr>
        <w:spacing w:after="40" w:before="40"/>
      </w:pPr>
      <w:r>
        <w:rPr>
          <w:rFonts w:ascii="Arial" w:cs="Arial" w:eastAsia="Arial" w:hAnsi="Arial"/>
          <w:sz w:val="22"/>
          <w:szCs w:val="22"/>
        </w:rPr>
        <w:t xml:space="preserve">Form submission → validate → publish to Kafka topic → return 202 Accepted with trackingId</w:t>
      </w:r>
    </w:p>
    <w:p>
      <w:pPr>
        <w:pStyle w:val="ListParagraph"/>
        <w:numPr>
          <w:ilvl w:val="0"/>
          <w:numId w:val="2"/>
        </w:numPr>
        <w:spacing w:after="40" w:before="40"/>
      </w:pPr>
      <w:r>
        <w:rPr>
          <w:rFonts w:ascii="Arial" w:cs="Arial" w:eastAsia="Arial" w:hAnsi="Arial"/>
          <w:sz w:val="22"/>
          <w:szCs w:val="22"/>
        </w:rPr>
        <w:t xml:space="preserve">Process Start Consumer reads at controlled rate (max.poll.records = 20 per consumer)</w:t>
      </w:r>
    </w:p>
    <w:p>
      <w:pPr>
        <w:pStyle w:val="ListParagraph"/>
        <w:numPr>
          <w:ilvl w:val="0"/>
          <w:numId w:val="2"/>
        </w:numPr>
        <w:spacing w:after="40" w:before="40"/>
      </w:pPr>
      <w:r>
        <w:rPr>
          <w:rFonts w:ascii="Arial" w:cs="Arial" w:eastAsia="Arial" w:hAnsi="Arial"/>
          <w:sz w:val="22"/>
          <w:szCs w:val="22"/>
        </w:rPr>
        <w:t xml:space="preserve">Client polls status endpoint or receives WebSocket push when process started</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10.4 Claim Check Pattern</w:t>
      </w:r>
    </w:p>
    <w:p>
      <w:pPr>
        <w:spacing w:after="80" w:before="80"/>
      </w:pPr>
      <w:r>
        <w:rPr>
          <w:rFonts w:ascii="Arial" w:cs="Arial" w:eastAsia="Arial" w:hAnsi="Arial"/>
          <w:sz w:val="22"/>
          <w:szCs w:val="22"/>
        </w:rPr>
        <w:t xml:space="preserve">Large process variables are never stored in Flowable tables. Only a reference ID is stored. The full payload lives in the Data Service (PostgreSQL + S3 for binaries). This prevents act_ru_variable bloat and keeps engine queries fast.</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10.5 PostgreSQL Scaling</w:t>
      </w:r>
    </w:p>
    <w:p>
      <w:pPr>
        <w:pStyle w:val="ListParagraph"/>
        <w:numPr>
          <w:ilvl w:val="0"/>
          <w:numId w:val="2"/>
        </w:numPr>
        <w:spacing w:after="40" w:before="40"/>
      </w:pPr>
      <w:r>
        <w:rPr>
          <w:rFonts w:ascii="Arial" w:cs="Arial" w:eastAsia="Arial" w:hAnsi="Arial"/>
          <w:sz w:val="22"/>
          <w:szCs w:val="22"/>
        </w:rPr>
        <w:t xml:space="preserve">Primary (read-write): all act_ru_* writes, job acquisition</w:t>
      </w:r>
    </w:p>
    <w:p>
      <w:pPr>
        <w:pStyle w:val="ListParagraph"/>
        <w:numPr>
          <w:ilvl w:val="0"/>
          <w:numId w:val="2"/>
        </w:numPr>
        <w:spacing w:after="40" w:before="40"/>
      </w:pPr>
      <w:r>
        <w:rPr>
          <w:rFonts w:ascii="Arial" w:cs="Arial" w:eastAsia="Arial" w:hAnsi="Arial"/>
          <w:sz w:val="22"/>
          <w:szCs w:val="22"/>
        </w:rPr>
        <w:t xml:space="preserve">Read Replica 1: act_hi_* history queries, reporting, Studio metadata reads</w:t>
      </w:r>
    </w:p>
    <w:p>
      <w:pPr>
        <w:pStyle w:val="ListParagraph"/>
        <w:numPr>
          <w:ilvl w:val="0"/>
          <w:numId w:val="2"/>
        </w:numPr>
        <w:spacing w:after="40" w:before="40"/>
      </w:pPr>
      <w:r>
        <w:rPr>
          <w:rFonts w:ascii="Arial" w:cs="Arial" w:eastAsia="Arial" w:hAnsi="Arial"/>
          <w:sz w:val="22"/>
          <w:szCs w:val="22"/>
        </w:rPr>
        <w:t xml:space="preserve">Read Replica 2: Portal task inbox queries, process list views</w:t>
      </w:r>
    </w:p>
    <w:p>
      <w:pPr>
        <w:pStyle w:val="ListParagraph"/>
        <w:numPr>
          <w:ilvl w:val="0"/>
          <w:numId w:val="2"/>
        </w:numPr>
        <w:spacing w:after="40" w:before="40"/>
      </w:pPr>
      <w:r>
        <w:rPr>
          <w:rFonts w:ascii="Arial" w:cs="Arial" w:eastAsia="Arial" w:hAnsi="Arial"/>
          <w:sz w:val="22"/>
          <w:szCs w:val="22"/>
        </w:rPr>
        <w:t xml:space="preserve">PgBouncer in transaction pool mode in front of primary — absorbs connection storms on engine scale-up</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10.6 HPA Metric — Pending Job Count</w:t>
      </w:r>
    </w:p>
    <w:p>
      <w:pPr>
        <w:spacing w:after="80" w:before="80"/>
      </w:pPr>
      <w:r>
        <w:rPr>
          <w:rFonts w:ascii="Arial" w:cs="Arial" w:eastAsia="Arial" w:hAnsi="Arial"/>
          <w:sz w:val="22"/>
          <w:szCs w:val="22"/>
        </w:rPr>
        <w:t xml:space="preserve">Kubernetes HPA scales engine pods based on a custom metric: flowable_pending_jobs_count exposed via Prometheus Adapter. Scale-up triggers when pending jobs exceed 50 per pod. Pods scale between 3 (min) and 10 (max) for Enterprise tier.</w:t>
      </w:r>
    </w:p>
    <w:p>
      <w:r>
        <w:br w:type="page"/>
      </w:r>
    </w:p>
    <w:p>
      <w:pPr>
        <w:pStyle w:val="Heading1"/>
        <w:spacing w:after="200" w:before="400"/>
      </w:pPr>
      <w:r>
        <w:rPr>
          <w:rFonts w:ascii="Arial" w:cs="Arial" w:eastAsia="Arial" w:hAnsi="Arial"/>
          <w:b/>
          <w:bCs/>
          <w:color w:val="1F4E79"/>
          <w:sz w:val="36"/>
          <w:szCs w:val="36"/>
        </w:rPr>
        <w:t xml:space="preserve">11. Platform API Design</w:t>
      </w:r>
    </w:p>
    <w:p>
      <w:pPr>
        <w:pStyle w:val="Heading2"/>
        <w:spacing w:after="160" w:before="300"/>
      </w:pPr>
      <w:r>
        <w:rPr>
          <w:rFonts w:ascii="Arial" w:cs="Arial" w:eastAsia="Arial" w:hAnsi="Arial"/>
          <w:b/>
          <w:bCs/>
          <w:color w:val="2E75B6"/>
          <w:sz w:val="28"/>
          <w:szCs w:val="28"/>
        </w:rPr>
        <w:t xml:space="preserve">11.1 API Surface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Purpose &amp; Key Endpoints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Runtime APIs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Process lifecycle (start, signal, message, terminate), task inbox, claim, complete, reassign, form rendering and submission</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Extension APIs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Webhook subscriptions, custom service task registration, inbound webhook receivers, event publishing</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Management APIs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Bundle deployment, rollback trigger, tenant health, archival management (internal network only)</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Query / Reporting APIs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Process analytics, task performance, SLA reports, audit trail query, compliance export</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11.2 Design Principles</w:t>
      </w:r>
    </w:p>
    <w:p>
      <w:pPr>
        <w:pStyle w:val="ListParagraph"/>
        <w:numPr>
          <w:ilvl w:val="0"/>
          <w:numId w:val="2"/>
        </w:numPr>
        <w:spacing w:after="40" w:before="40"/>
      </w:pPr>
      <w:r>
        <w:rPr>
          <w:rFonts w:ascii="Arial" w:cs="Arial" w:eastAsia="Arial" w:hAnsi="Arial"/>
          <w:sz w:val="22"/>
          <w:szCs w:val="22"/>
        </w:rPr>
        <w:t xml:space="preserve">Tenant-scoped always — every API implicitly scoped to caller's tenant; cross-tenant calls impossible</w:t>
      </w:r>
    </w:p>
    <w:p>
      <w:pPr>
        <w:pStyle w:val="ListParagraph"/>
        <w:numPr>
          <w:ilvl w:val="0"/>
          <w:numId w:val="2"/>
        </w:numPr>
        <w:spacing w:after="40" w:before="40"/>
      </w:pPr>
      <w:r>
        <w:rPr>
          <w:rFonts w:ascii="Arial" w:cs="Arial" w:eastAsia="Arial" w:hAnsi="Arial"/>
          <w:sz w:val="22"/>
          <w:szCs w:val="22"/>
        </w:rPr>
        <w:t xml:space="preserve">Versioned from day one — /api/v1/... with 12-month minimum deprecation cycle</w:t>
      </w:r>
    </w:p>
    <w:p>
      <w:pPr>
        <w:pStyle w:val="ListParagraph"/>
        <w:numPr>
          <w:ilvl w:val="0"/>
          <w:numId w:val="2"/>
        </w:numPr>
        <w:spacing w:after="40" w:before="40"/>
      </w:pPr>
      <w:r>
        <w:rPr>
          <w:rFonts w:ascii="Arial" w:cs="Arial" w:eastAsia="Arial" w:hAnsi="Arial"/>
          <w:sz w:val="22"/>
          <w:szCs w:val="22"/>
        </w:rPr>
        <w:t xml:space="preserve">Async by default for mutations — start process returns 202 Accepted + trackingId, not 201 with full instance</w:t>
      </w:r>
    </w:p>
    <w:p>
      <w:pPr>
        <w:pStyle w:val="ListParagraph"/>
        <w:numPr>
          <w:ilvl w:val="0"/>
          <w:numId w:val="2"/>
        </w:numPr>
        <w:spacing w:after="40" w:before="40"/>
      </w:pPr>
      <w:r>
        <w:rPr>
          <w:rFonts w:ascii="Arial" w:cs="Arial" w:eastAsia="Arial" w:hAnsi="Arial"/>
          <w:sz w:val="22"/>
          <w:szCs w:val="22"/>
        </w:rPr>
        <w:t xml:space="preserve">Idempotency keys on mutations — safe to retry on network failure via Idempotency-Key header</w:t>
      </w:r>
    </w:p>
    <w:p>
      <w:pPr>
        <w:pStyle w:val="ListParagraph"/>
        <w:numPr>
          <w:ilvl w:val="0"/>
          <w:numId w:val="2"/>
        </w:numPr>
        <w:spacing w:after="40" w:before="40"/>
      </w:pPr>
      <w:r>
        <w:rPr>
          <w:rFonts w:ascii="Arial" w:cs="Arial" w:eastAsia="Arial" w:hAnsi="Arial"/>
          <w:sz w:val="22"/>
          <w:szCs w:val="22"/>
        </w:rPr>
        <w:t xml:space="preserve">Cursor-based pagination on all list endpoints — offset pagination breaks on concurrent inserts</w:t>
      </w:r>
    </w:p>
    <w:p>
      <w:pPr>
        <w:pStyle w:val="ListParagraph"/>
        <w:numPr>
          <w:ilvl w:val="0"/>
          <w:numId w:val="2"/>
        </w:numPr>
        <w:spacing w:after="40" w:before="40"/>
      </w:pPr>
      <w:r>
        <w:rPr>
          <w:rFonts w:ascii="Arial" w:cs="Arial" w:eastAsia="Arial" w:hAnsi="Arial"/>
          <w:sz w:val="22"/>
          <w:szCs w:val="22"/>
        </w:rPr>
        <w:t xml:space="preserve">Consistent error envelope — every error: { code, message, traceId, details }</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11.3 Standard Response Envelope</w:t>
      </w:r>
    </w:p>
    <w:p>
      <w:pPr>
        <w:spacing w:after="60" w:before="60"/>
        <w:ind w:left="360"/>
      </w:pPr>
      <w:r>
        <w:rPr>
          <w:rFonts w:ascii="Courier New" w:cs="Courier New" w:eastAsia="Courier New" w:hAnsi="Courier New"/>
          <w:color w:val="333333"/>
          <w:sz w:val="18"/>
          <w:szCs w:val="18"/>
        </w:rPr>
        <w:t xml:space="preserve">// Success — single resource</w:t>
      </w:r>
    </w:p>
    <w:p>
      <w:pPr>
        <w:spacing w:after="60" w:before="60"/>
        <w:ind w:left="360"/>
      </w:pPr>
      <w:r>
        <w:rPr>
          <w:rFonts w:ascii="Courier New" w:cs="Courier New" w:eastAsia="Courier New" w:hAnsi="Courier New"/>
          <w:color w:val="333333"/>
          <w:sz w:val="18"/>
          <w:szCs w:val="18"/>
        </w:rPr>
        <w:t xml:space="preserve">{ "data": { }, "meta": { "requestId": "...", "traceId": "...", "timestamp": "..." } }</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Success — collection</w:t>
      </w:r>
    </w:p>
    <w:p>
      <w:pPr>
        <w:spacing w:after="60" w:before="60"/>
        <w:ind w:left="360"/>
      </w:pPr>
      <w:r>
        <w:rPr>
          <w:rFonts w:ascii="Courier New" w:cs="Courier New" w:eastAsia="Courier New" w:hAnsi="Courier New"/>
          <w:color w:val="333333"/>
          <w:sz w:val="18"/>
          <w:szCs w:val="18"/>
        </w:rPr>
        <w:t xml:space="preserve">{ "data": [ ], "pagination": { "cursor": "...", "hasMore": true, "pageSize": 20 } }</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Error</w:t>
      </w:r>
    </w:p>
    <w:p>
      <w:pPr>
        <w:spacing w:after="60" w:before="60"/>
        <w:ind w:left="360"/>
      </w:pPr>
      <w:r>
        <w:rPr>
          <w:rFonts w:ascii="Courier New" w:cs="Courier New" w:eastAsia="Courier New" w:hAnsi="Courier New"/>
          <w:color w:val="333333"/>
          <w:sz w:val="18"/>
          <w:szCs w:val="18"/>
        </w:rPr>
        <w:t xml:space="preserve">{ "error": { "code": "TASK_ALREADY_CLAIMED", "message": "...", "traceId": "...", "details": { } } }</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11.4 Authentication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Consumer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Auth Mechanism</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Portal Users (human)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Keycloak OIDC — short-lived JWT (15 min) + refresh token (8 hours)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Tenant Applications (server)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OAuth2 Client Credentials — service token (24 hours)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Platform Operators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Vault-issued short-lived token + MFA — internal network only</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Inbound Webhooks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HMAC signature validation — per-connector signing secret in Vault</w:t>
            </w:r>
          </w:p>
        </w:tc>
      </w:tr>
    </w:tbl>
    <w:p>
      <w:r>
        <w:br w:type="page"/>
      </w:r>
    </w:p>
    <w:p>
      <w:pPr>
        <w:pStyle w:val="Heading1"/>
        <w:spacing w:after="200" w:before="400"/>
      </w:pPr>
      <w:r>
        <w:rPr>
          <w:rFonts w:ascii="Arial" w:cs="Arial" w:eastAsia="Arial" w:hAnsi="Arial"/>
          <w:b/>
          <w:bCs/>
          <w:color w:val="1F4E79"/>
          <w:sz w:val="36"/>
          <w:szCs w:val="36"/>
        </w:rPr>
        <w:t xml:space="preserve">12. SDK Design</w:t>
      </w:r>
    </w:p>
    <w:p>
      <w:pPr>
        <w:pStyle w:val="Heading2"/>
        <w:spacing w:after="160" w:before="300"/>
      </w:pPr>
      <w:r>
        <w:rPr>
          <w:rFonts w:ascii="Arial" w:cs="Arial" w:eastAsia="Arial" w:hAnsi="Arial"/>
          <w:b/>
          <w:bCs/>
          <w:color w:val="2E75B6"/>
          <w:sz w:val="28"/>
          <w:szCs w:val="28"/>
        </w:rPr>
        <w:t xml:space="preserve">12.1 SDK Architecture</w:t>
      </w:r>
    </w:p>
    <w:p>
      <w:pPr>
        <w:spacing w:after="80" w:before="80"/>
      </w:pPr>
      <w:r>
        <w:rPr>
          <w:rFonts w:ascii="Arial" w:cs="Arial" w:eastAsia="Arial" w:hAnsi="Arial"/>
          <w:sz w:val="22"/>
          <w:szCs w:val="22"/>
        </w:rPr>
        <w:t xml:space="preserve">The SDK wraps platform REST APIs into type-safe, fluent, auto-retrying client libraries. Three languages are shipped:</w:t>
      </w:r>
    </w:p>
    <w:p>
      <w:pPr>
        <w:pStyle w:val="ListParagraph"/>
        <w:numPr>
          <w:ilvl w:val="0"/>
          <w:numId w:val="2"/>
        </w:numPr>
        <w:spacing w:after="40" w:before="40"/>
      </w:pPr>
      <w:r>
        <w:rPr>
          <w:rFonts w:ascii="Arial" w:cs="Arial" w:eastAsia="Arial" w:hAnsi="Arial"/>
          <w:sz w:val="22"/>
          <w:szCs w:val="22"/>
        </w:rPr>
        <w:t xml:space="preserve">Java / Spring Boot — primary SDK; Spring Boot Starter with auto-configuration</w:t>
      </w:r>
    </w:p>
    <w:p>
      <w:pPr>
        <w:pStyle w:val="ListParagraph"/>
        <w:numPr>
          <w:ilvl w:val="0"/>
          <w:numId w:val="2"/>
        </w:numPr>
        <w:spacing w:after="40" w:before="40"/>
      </w:pPr>
      <w:r>
        <w:rPr>
          <w:rFonts w:ascii="Arial" w:cs="Arial" w:eastAsia="Arial" w:hAnsi="Arial"/>
          <w:sz w:val="22"/>
          <w:szCs w:val="22"/>
        </w:rPr>
        <w:t xml:space="preserve">JavaScript / Node.js — secondary; async/await, async iterators for pagination</w:t>
      </w:r>
    </w:p>
    <w:p>
      <w:pPr>
        <w:pStyle w:val="ListParagraph"/>
        <w:numPr>
          <w:ilvl w:val="0"/>
          <w:numId w:val="2"/>
        </w:numPr>
        <w:spacing w:after="40" w:before="40"/>
      </w:pPr>
      <w:r>
        <w:rPr>
          <w:rFonts w:ascii="Arial" w:cs="Arial" w:eastAsia="Arial" w:hAnsi="Arial"/>
          <w:sz w:val="22"/>
          <w:szCs w:val="22"/>
        </w:rPr>
        <w:t xml:space="preserve">Python — tertiary; data teams and scripting use cases</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12.2 SDK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platform-sdk-core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PlatformHttpClient, TokenManager (auto-refresh), RetryExecutor (exponential backoff), typed exceptions</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platform-sdk-process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ProcessClient with fluent start builder, query builder, signal/message methods, ProcessTracker (sync/async)</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platform-sdk-task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TaskClient with inbox query builder, claim, complete (fluent), reassign, delegate</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platform-sdk-entity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EntityClient&lt;T&gt; with type-safe CRUD, history queries, point-in-time reconstruction, lazy pagination stream</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platform-sdk-events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EventClient, SubscriptionBuilder, WebhookHandler with HMAC signature validation</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platform-sdk-audit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AuditClient, ComplianceExportClient</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platform-sdk-admin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DeploymentClient, ArchivalClient, TenantHealthClient</w:t>
            </w:r>
          </w:p>
        </w:tc>
      </w:tr>
      <w:tr>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platform-sdk-spring-boot-starter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Auto-configuration, SdkHealthIndicator (Spring Actuator integration)</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12.3 Code Generation</w:t>
      </w:r>
    </w:p>
    <w:p>
      <w:pPr>
        <w:spacing w:after="80" w:before="80"/>
      </w:pPr>
      <w:r>
        <w:rPr>
          <w:rFonts w:ascii="Arial" w:cs="Arial" w:eastAsia="Arial" w:hAnsi="Arial"/>
          <w:sz w:val="22"/>
          <w:szCs w:val="22"/>
        </w:rPr>
        <w:t xml:space="preserve">The Data Modeler generates typed entity model classes as part of the app bundle build. Generated classes are annotated with @PlatformEntity, @BusinessKey, @ReadOnly, and validation annotations. Developers use these directly with EntityClient&lt;LoanApplication&gt; for full IDE support and compile-time safety.</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12.4 Built-in Observability</w:t>
      </w:r>
    </w:p>
    <w:p>
      <w:pPr>
        <w:pStyle w:val="ListParagraph"/>
        <w:numPr>
          <w:ilvl w:val="0"/>
          <w:numId w:val="2"/>
        </w:numPr>
        <w:spacing w:after="40" w:before="40"/>
      </w:pPr>
      <w:r>
        <w:rPr>
          <w:rFonts w:ascii="Arial" w:cs="Arial" w:eastAsia="Arial" w:hAnsi="Arial"/>
          <w:sz w:val="22"/>
          <w:szCs w:val="22"/>
        </w:rPr>
        <w:t xml:space="preserve">Micrometer metrics — platform.sdk.call timer tagged by operation and status</w:t>
      </w:r>
    </w:p>
    <w:p>
      <w:pPr>
        <w:pStyle w:val="ListParagraph"/>
        <w:numPr>
          <w:ilvl w:val="0"/>
          <w:numId w:val="2"/>
        </w:numPr>
        <w:spacing w:after="40" w:before="40"/>
      </w:pPr>
      <w:r>
        <w:rPr>
          <w:rFonts w:ascii="Arial" w:cs="Arial" w:eastAsia="Arial" w:hAnsi="Arial"/>
          <w:sz w:val="22"/>
          <w:szCs w:val="22"/>
        </w:rPr>
        <w:t xml:space="preserve">OpenTelemetry distributed tracing — spans propagated via W3C TraceContext headers into platform APIs</w:t>
      </w:r>
    </w:p>
    <w:p>
      <w:pPr>
        <w:pStyle w:val="ListParagraph"/>
        <w:numPr>
          <w:ilvl w:val="0"/>
          <w:numId w:val="2"/>
        </w:numPr>
        <w:spacing w:after="40" w:before="40"/>
      </w:pPr>
      <w:r>
        <w:rPr>
          <w:rFonts w:ascii="Arial" w:cs="Arial" w:eastAsia="Arial" w:hAnsi="Arial"/>
          <w:sz w:val="22"/>
          <w:szCs w:val="22"/>
        </w:rPr>
        <w:t xml:space="preserve">Correlation ID — SDK generates or propagates X-Correlation-ID; appears in all platform logs for the call chain</w:t>
      </w:r>
    </w:p>
    <w:p>
      <w:r>
        <w:br w:type="page"/>
      </w:r>
    </w:p>
    <w:p>
      <w:pPr>
        <w:pStyle w:val="Heading1"/>
        <w:spacing w:after="200" w:before="400"/>
      </w:pPr>
      <w:r>
        <w:rPr>
          <w:rFonts w:ascii="Arial" w:cs="Arial" w:eastAsia="Arial" w:hAnsi="Arial"/>
          <w:b/>
          <w:bCs/>
          <w:color w:val="1F4E79"/>
          <w:sz w:val="36"/>
          <w:szCs w:val="36"/>
        </w:rPr>
        <w:t xml:space="preserve">13. Business Data Archival</w:t>
      </w:r>
    </w:p>
    <w:p>
      <w:pPr>
        <w:pStyle w:val="Heading2"/>
        <w:spacing w:after="160" w:before="300"/>
      </w:pPr>
      <w:r>
        <w:rPr>
          <w:rFonts w:ascii="Arial" w:cs="Arial" w:eastAsia="Arial" w:hAnsi="Arial"/>
          <w:b/>
          <w:bCs/>
          <w:color w:val="2E75B6"/>
          <w:sz w:val="28"/>
          <w:szCs w:val="28"/>
        </w:rPr>
        <w:t xml:space="preserve">13.1 Problem Statement</w:t>
      </w:r>
    </w:p>
    <w:p>
      <w:pPr>
        <w:spacing w:after="80" w:before="80"/>
      </w:pPr>
      <w:r>
        <w:rPr>
          <w:rFonts w:ascii="Arial" w:cs="Arial" w:eastAsia="Arial" w:hAnsi="Arial"/>
          <w:sz w:val="22"/>
          <w:szCs w:val="22"/>
        </w:rPr>
        <w:t xml:space="preserve">Without archival, operational tables accumulate closed/terminal records over time. A loan_application table with 5,000 active rows and 500,000 closed rows causes index bloat, slower queries, VACUUM pressure, and unbounded backup size. The platform solves this with configurable, automated, tenant-controlled archival.</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13.2 Active + History Table Pattern</w:t>
      </w:r>
    </w:p>
    <w:p>
      <w:pPr>
        <w:spacing w:after="80" w:before="80"/>
      </w:pPr>
      <w:r>
        <w:rPr>
          <w:rFonts w:ascii="Arial" w:cs="Arial" w:eastAsia="Arial" w:hAnsi="Arial"/>
          <w:sz w:val="22"/>
          <w:szCs w:val="22"/>
        </w:rPr>
        <w:t xml:space="preserve">For every tenant-defined entity, the platform maintains two tables:</w:t>
      </w:r>
    </w:p>
    <w:p>
      <w:pPr>
        <w:pStyle w:val="ListParagraph"/>
        <w:numPr>
          <w:ilvl w:val="0"/>
          <w:numId w:val="2"/>
        </w:numPr>
        <w:spacing w:after="40" w:before="40"/>
      </w:pPr>
      <w:r>
        <w:rPr>
          <w:rFonts w:ascii="Arial" w:cs="Arial" w:eastAsia="Arial" w:hAnsi="Arial"/>
          <w:sz w:val="22"/>
          <w:szCs w:val="22"/>
        </w:rPr>
        <w:t xml:space="preserve">Active Table (hot) — contains only OPEN/IN-PROGRESS and recently closed records. Fully indexed. Joined in task inbox queries.</w:t>
      </w:r>
    </w:p>
    <w:p>
      <w:pPr>
        <w:pStyle w:val="ListParagraph"/>
        <w:numPr>
          <w:ilvl w:val="0"/>
          <w:numId w:val="2"/>
        </w:numPr>
        <w:spacing w:after="40" w:before="40"/>
      </w:pPr>
      <w:r>
        <w:rPr>
          <w:rFonts w:ascii="Arial" w:cs="Arial" w:eastAsia="Arial" w:hAnsi="Arial"/>
          <w:sz w:val="22"/>
          <w:szCs w:val="22"/>
        </w:rPr>
        <w:t xml:space="preserve">History Table (cold) — contains CLOSED records past the archival threshold. Minimal indexes (businessKey, closedAt, archivedAt). Partitioned monthly. Not joined in operational queries.</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13.3 Archival Policy Configuration</w:t>
      </w:r>
    </w:p>
    <w:p>
      <w:pPr>
        <w:spacing w:after="80" w:before="80"/>
      </w:pPr>
      <w:r>
        <w:rPr>
          <w:rFonts w:ascii="Arial" w:cs="Arial" w:eastAsia="Arial" w:hAnsi="Arial"/>
          <w:sz w:val="22"/>
          <w:szCs w:val="22"/>
        </w:rPr>
        <w:t xml:space="preserve">Defined in Studio Data Modeler per entity type. Key parameters:</w:t>
      </w:r>
    </w:p>
    <w:p>
      <w:pPr>
        <w:pStyle w:val="ListParagraph"/>
        <w:numPr>
          <w:ilvl w:val="0"/>
          <w:numId w:val="2"/>
        </w:numPr>
        <w:spacing w:after="40" w:before="40"/>
      </w:pPr>
      <w:r>
        <w:rPr>
          <w:rFonts w:ascii="Arial" w:cs="Arial" w:eastAsia="Arial" w:hAnsi="Arial"/>
          <w:sz w:val="22"/>
          <w:szCs w:val="22"/>
        </w:rPr>
        <w:t xml:space="preserve">terminalStatuses — list of statuses that make a record eligible (e.g. APPROVED, REJECTED, WITHDRAWN)</w:t>
      </w:r>
    </w:p>
    <w:p>
      <w:pPr>
        <w:pStyle w:val="ListParagraph"/>
        <w:numPr>
          <w:ilvl w:val="0"/>
          <w:numId w:val="2"/>
        </w:numPr>
        <w:spacing w:after="40" w:before="40"/>
      </w:pPr>
      <w:r>
        <w:rPr>
          <w:rFonts w:ascii="Arial" w:cs="Arial" w:eastAsia="Arial" w:hAnsi="Arial"/>
          <w:sz w:val="22"/>
          <w:szCs w:val="22"/>
        </w:rPr>
        <w:t xml:space="preserve">archiveAfterDays — days after entering terminal status before archival (tenant-configurable within platform min/max bounds)</w:t>
      </w:r>
    </w:p>
    <w:p>
      <w:pPr>
        <w:pStyle w:val="ListParagraph"/>
        <w:numPr>
          <w:ilvl w:val="0"/>
          <w:numId w:val="2"/>
        </w:numPr>
        <w:spacing w:after="40" w:before="40"/>
      </w:pPr>
      <w:r>
        <w:rPr>
          <w:rFonts w:ascii="Arial" w:cs="Arial" w:eastAsia="Arial" w:hAnsi="Arial"/>
          <w:sz w:val="22"/>
          <w:szCs w:val="22"/>
        </w:rPr>
        <w:t xml:space="preserve">cascadeEntities — child entities archived together with parent (e.g. LoanDocument, Applicant)</w:t>
      </w:r>
    </w:p>
    <w:p>
      <w:pPr>
        <w:pStyle w:val="ListParagraph"/>
        <w:numPr>
          <w:ilvl w:val="0"/>
          <w:numId w:val="2"/>
        </w:numPr>
        <w:spacing w:after="40" w:before="40"/>
      </w:pPr>
      <w:r>
        <w:rPr>
          <w:rFonts w:ascii="Arial" w:cs="Arial" w:eastAsia="Arial" w:hAnsi="Arial"/>
          <w:sz w:val="22"/>
          <w:szCs w:val="22"/>
        </w:rPr>
        <w:t xml:space="preserve">reactivation.allowed — whether archived records can be moved back to active table</w:t>
      </w:r>
    </w:p>
    <w:p>
      <w:pPr>
        <w:pStyle w:val="ListParagraph"/>
        <w:numPr>
          <w:ilvl w:val="0"/>
          <w:numId w:val="2"/>
        </w:numPr>
        <w:spacing w:after="40" w:before="40"/>
      </w:pPr>
      <w:r>
        <w:rPr>
          <w:rFonts w:ascii="Arial" w:cs="Arial" w:eastAsia="Arial" w:hAnsi="Arial"/>
          <w:sz w:val="22"/>
          <w:szCs w:val="22"/>
        </w:rPr>
        <w:t xml:space="preserve">preArchivalNotice — notify specified roles N days before archival</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13.4 Archival Mechanics</w:t>
      </w:r>
    </w:p>
    <w:p>
      <w:pPr>
        <w:spacing w:after="80" w:before="80"/>
      </w:pPr>
      <w:r>
        <w:rPr>
          <w:rFonts w:ascii="Arial" w:cs="Arial" w:eastAsia="Arial" w:hAnsi="Arial"/>
          <w:sz w:val="22"/>
          <w:szCs w:val="22"/>
        </w:rPr>
        <w:t xml:space="preserve">Archival runs nightly at 2 AM via a scheduled Spring service. Processing is done in batches of 500 using keyset pagination (safe for concurrent inserts). Each batch executes a single atomic transaction:</w:t>
      </w:r>
    </w:p>
    <w:p>
      <w:pPr>
        <w:spacing w:after="60" w:before="60"/>
        <w:ind w:left="360"/>
      </w:pPr>
      <w:r>
        <w:rPr>
          <w:rFonts w:ascii="Courier New" w:cs="Courier New" w:eastAsia="Courier New" w:hAnsi="Courier New"/>
          <w:color w:val="333333"/>
          <w:sz w:val="18"/>
          <w:szCs w:val="18"/>
        </w:rPr>
        <w:t xml:space="preserve">WITH moved AS (</w:t>
      </w:r>
    </w:p>
    <w:p>
      <w:pPr>
        <w:spacing w:after="60" w:before="60"/>
        <w:ind w:left="360"/>
      </w:pPr>
      <w:r>
        <w:rPr>
          <w:rFonts w:ascii="Courier New" w:cs="Courier New" w:eastAsia="Courier New" w:hAnsi="Courier New"/>
          <w:color w:val="333333"/>
          <w:sz w:val="18"/>
          <w:szCs w:val="18"/>
        </w:rPr>
        <w:t xml:space="preserve">    DELETE FROM {schema}.{entity_table}</w:t>
      </w:r>
    </w:p>
    <w:p>
      <w:pPr>
        <w:spacing w:after="60" w:before="60"/>
        <w:ind w:left="360"/>
      </w:pPr>
      <w:r>
        <w:rPr>
          <w:rFonts w:ascii="Courier New" w:cs="Courier New" w:eastAsia="Courier New" w:hAnsi="Courier New"/>
          <w:color w:val="333333"/>
          <w:sz w:val="18"/>
          <w:szCs w:val="18"/>
        </w:rPr>
        <w:t xml:space="preserve">    WHERE id = ANY(?) RETURNING *</w:t>
      </w:r>
    </w:p>
    <w:p>
      <w:pPr>
        <w:spacing w:after="60" w:before="60"/>
        <w:ind w:left="360"/>
      </w:pPr>
      <w:r>
        <w:rPr>
          <w:rFonts w:ascii="Courier New" w:cs="Courier New" w:eastAsia="Courier New" w:hAnsi="Courier New"/>
          <w:color w:val="333333"/>
          <w:sz w:val="18"/>
          <w:szCs w:val="18"/>
        </w:rPr>
        <w:t xml:space="preserve">)</w:t>
      </w:r>
    </w:p>
    <w:p>
      <w:pPr>
        <w:spacing w:after="60" w:before="60"/>
        <w:ind w:left="360"/>
      </w:pPr>
      <w:r>
        <w:rPr>
          <w:rFonts w:ascii="Courier New" w:cs="Courier New" w:eastAsia="Courier New" w:hAnsi="Courier New"/>
          <w:color w:val="333333"/>
          <w:sz w:val="18"/>
          <w:szCs w:val="18"/>
        </w:rPr>
        <w:t xml:space="preserve">INSERT INTO {schema}.{entity_table}_history</w:t>
      </w:r>
    </w:p>
    <w:p>
      <w:pPr>
        <w:spacing w:after="60" w:before="60"/>
        <w:ind w:left="360"/>
      </w:pPr>
      <w:r>
        <w:rPr>
          <w:rFonts w:ascii="Courier New" w:cs="Courier New" w:eastAsia="Courier New" w:hAnsi="Courier New"/>
          <w:color w:val="333333"/>
          <w:sz w:val="18"/>
          <w:szCs w:val="18"/>
        </w:rPr>
        <w:t xml:space="preserve">SELECT m.*, now() AS archived_at, 'system' AS archived_by, ...</w:t>
      </w:r>
    </w:p>
    <w:p>
      <w:pPr>
        <w:spacing w:after="60" w:before="60"/>
        <w:ind w:left="360"/>
      </w:pPr>
      <w:r>
        <w:rPr>
          <w:rFonts w:ascii="Courier New" w:cs="Courier New" w:eastAsia="Courier New" w:hAnsi="Courier New"/>
          <w:color w:val="333333"/>
          <w:sz w:val="18"/>
          <w:szCs w:val="18"/>
        </w:rPr>
        <w:t xml:space="preserve">FROM moved m</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13.5 Transparent Query Routing</w:t>
      </w:r>
    </w:p>
    <w:p>
      <w:pPr>
        <w:spacing w:after="80" w:before="80"/>
      </w:pPr>
      <w:r>
        <w:rPr>
          <w:rFonts w:ascii="Arial" w:cs="Arial" w:eastAsia="Arial" w:hAnsi="Arial"/>
          <w:sz w:val="22"/>
          <w:szCs w:val="22"/>
        </w:rPr>
        <w:t xml:space="preserve">Application code and API consumers do not change. The platform routes queries transparently:</w:t>
      </w:r>
    </w:p>
    <w:p>
      <w:pPr>
        <w:pStyle w:val="ListParagraph"/>
        <w:numPr>
          <w:ilvl w:val="0"/>
          <w:numId w:val="2"/>
        </w:numPr>
        <w:spacing w:after="40" w:before="40"/>
      </w:pPr>
      <w:r>
        <w:rPr>
          <w:rFonts w:ascii="Arial" w:cs="Arial" w:eastAsia="Arial" w:hAnsi="Arial"/>
          <w:sz w:val="22"/>
          <w:szCs w:val="22"/>
        </w:rPr>
        <w:t xml:space="preserve">Default list queries: active table only (fast path)</w:t>
      </w:r>
    </w:p>
    <w:p>
      <w:pPr>
        <w:pStyle w:val="ListParagraph"/>
        <w:numPr>
          <w:ilvl w:val="0"/>
          <w:numId w:val="2"/>
        </w:numPr>
        <w:spacing w:after="40" w:before="40"/>
      </w:pPr>
      <w:r>
        <w:rPr>
          <w:rFonts w:ascii="Arial" w:cs="Arial" w:eastAsia="Arial" w:hAnsi="Arial"/>
          <w:sz w:val="22"/>
          <w:szCs w:val="22"/>
        </w:rPr>
        <w:t xml:space="preserve">Single record by businessKey: active table first, fall-through to history if not found</w:t>
      </w:r>
    </w:p>
    <w:p>
      <w:pPr>
        <w:pStyle w:val="ListParagraph"/>
        <w:numPr>
          <w:ilvl w:val="0"/>
          <w:numId w:val="2"/>
        </w:numPr>
        <w:spacing w:after="40" w:before="40"/>
      </w:pPr>
      <w:r>
        <w:rPr>
          <w:rFonts w:ascii="Arial" w:cs="Arial" w:eastAsia="Arial" w:hAnsi="Arial"/>
          <w:sz w:val="22"/>
          <w:szCs w:val="22"/>
        </w:rPr>
        <w:t xml:space="preserve">Explicit history queries: ?includeHistory=true parameter or /history endpoint</w:t>
      </w:r>
    </w:p>
    <w:p>
      <w:pPr>
        <w:pStyle w:val="ListParagraph"/>
        <w:numPr>
          <w:ilvl w:val="0"/>
          <w:numId w:val="2"/>
        </w:numPr>
        <w:spacing w:after="40" w:before="40"/>
      </w:pPr>
      <w:r>
        <w:rPr>
          <w:rFonts w:ascii="Arial" w:cs="Arial" w:eastAsia="Arial" w:hAnsi="Arial"/>
          <w:sz w:val="22"/>
          <w:szCs w:val="22"/>
        </w:rPr>
        <w:t xml:space="preserve">Response includes _source: HISTORY indicator so callers know the record is archived</w:t>
      </w:r>
    </w:p>
    <w:p>
      <w:r>
        <w:br w:type="page"/>
      </w:r>
    </w:p>
    <w:p>
      <w:pPr>
        <w:pStyle w:val="Heading1"/>
        <w:spacing w:after="200" w:before="400"/>
      </w:pPr>
      <w:r>
        <w:rPr>
          <w:rFonts w:ascii="Arial" w:cs="Arial" w:eastAsia="Arial" w:hAnsi="Arial"/>
          <w:b/>
          <w:bCs/>
          <w:color w:val="1F4E79"/>
          <w:sz w:val="36"/>
          <w:szCs w:val="36"/>
        </w:rPr>
        <w:t xml:space="preserve">14.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Decision</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Workflow Engine</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Flowable 6</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BPMN + CMMN + DMN; native multi-tenancy; FOR UPDATE SKIP LOCKED clustering</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Process Modeler</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BPMN.js + custom extensions</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Open source; custom platform properties panel</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Form Engine</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Form.io OSS + custom renderer</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JSON Schema; dynamic visibility rules</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Rules Engine</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Drools / KIE Server</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DMN 1.3 + DRL; blue/green rule deployment</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Data Layer</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PostgreSQL + Hasura</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Schema-per-tenant; Flyway migrations; GraphQL auto-gen</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Caching</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Redis Cluster</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Session, task locks (Redlock), process cache</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Messaging</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Apache Kafka</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Event backbone; tenant-prefixed topics; partition by processInstanceId</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Integration</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Apache Camel + Temporal</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Rich connector library; durable execution</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Identity</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Keycloak</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Realm-per-tenant; SAML/LDAP federation; OAuth2/OIDC</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Secrets</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HashiCorp Vault</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Dynamic DB credentials; per-tenant paths; break-glass</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Container Infra</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Kubernetes + Helm</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Namespace per tenant; ResourceQuota; network policies</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Service Mesh</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Istio</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mTLS; traffic management; observability</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API Gateway</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Kong</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JWT validation; rate limiting; tenant routing plugin</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Observability</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Prometheus + Grafana + OTel</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Custom metrics; distributed tracing; per-tenant dashboards</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Audit Storage</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ClickHouse + S3 WORM</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Fast analytics; 7-year tamper-proof retention</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CI/CD</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GitHub Actions / Jenkins + Helm</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Bundle promotion pipeline; environment gates</w:t>
            </w:r>
          </w:p>
        </w:tc>
      </w:tr>
      <w:tr>
        <w:tc>
          <w:tcPr>
            <w:tcW w:type="dxa" w:w="25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rFonts w:ascii="Arial" w:cs="Arial" w:eastAsia="Arial" w:hAnsi="Arial"/>
                <w:color w:val="404040"/>
                <w:sz w:val="20"/>
                <w:szCs w:val="20"/>
              </w:rPr>
              <w:t xml:space="preserve">Artifact Registry</w:t>
            </w:r>
          </w:p>
        </w:tc>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JFrog Artifactory</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404040"/>
                <w:sz w:val="20"/>
                <w:szCs w:val="20"/>
              </w:rPr>
              <w:t xml:space="preserve">Versioned app bundles; immutable artifacts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6"/>
        <w:szCs w:val="16"/>
      </w:rPr>
      <w:t xml:space="preserve">Confidential — April 2026</w:t>
    </w:r>
    <w:r>
      <w:rPr>
        <w:rFonts w:ascii="Arial" w:cs="Arial" w:eastAsia="Arial" w:hAnsi="Arial"/>
        <w:color w:val="404040"/>
        <w:sz w:val="16"/>
        <w:szCs w:val="16"/>
      </w:rPr>
      <w:t xml:space="preserve">	Page </w:t>
    </w:r>
    <w:r>
      <w:rPr>
        <w:rFonts w:ascii="Arial" w:cs="Arial" w:eastAsia="Arial" w:hAnsi="Arial"/>
        <w:color w:val="404040"/>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Low-Code Workflow Platform — Architecture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2026-04-25T16:04:15.490Z</dcterms:created>
  <dcterms:modified xsi:type="dcterms:W3CDTF">2026-04-25T16:04:15.491Z</dcterms:modified>
</cp:coreProperties>
</file>

<file path=docProps/custom.xml><?xml version="1.0" encoding="utf-8"?>
<Properties xmlns="http://schemas.openxmlformats.org/officeDocument/2006/custom-properties" xmlns:vt="http://schemas.openxmlformats.org/officeDocument/2006/docPropsVTypes"/>
</file>