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3EC4E1">
      <w:pPr>
        <w:spacing w:before="600"/>
        <w:jc w:val="center"/>
      </w:pPr>
      <w:r>
        <w:rPr>
          <w:rFonts w:ascii="Arial" w:hAnsi="Arial" w:eastAsia="Arial" w:cs="Arial"/>
          <w:b/>
          <w:bCs/>
          <w:color w:val="1A6B72"/>
          <w:sz w:val="52"/>
          <w:szCs w:val="52"/>
        </w:rPr>
        <w:t>WORKPLACE SAFETY FUNDAMENTALS</w:t>
      </w:r>
    </w:p>
    <w:p w14:paraId="1CE448DB">
      <w:pPr>
        <w:jc w:val="center"/>
      </w:pPr>
      <w:r>
        <w:rPr>
          <w:rFonts w:ascii="Arial" w:hAnsi="Arial" w:eastAsia="Arial" w:cs="Arial"/>
          <w:color w:val="555555"/>
          <w:sz w:val="28"/>
          <w:szCs w:val="28"/>
        </w:rPr>
        <w:t>eLearning Module — Participant Workbook</w:t>
      </w:r>
    </w:p>
    <w:p w14:paraId="014E595D">
      <w:pPr>
        <w:spacing w:before="40" w:after="40"/>
      </w:pPr>
    </w:p>
    <w:tbl>
      <w:tblPr>
        <w:tblStyle w:val="9"/>
        <w:tblW w:w="6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0"/>
      </w:tblGrid>
      <w:tr w14:paraId="28701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CCCCCC" w:sz="0" w:space="0"/>
              <w:left w:val="single" w:color="CCCCCC" w:sz="0" w:space="0"/>
              <w:bottom w:val="single" w:color="CCCCCC" w:sz="0" w:space="0"/>
              <w:right w:val="single" w:color="CCCCCC" w:sz="0" w:space="0"/>
            </w:tcBorders>
            <w:shd w:val="clear" w:color="auto" w:fill="1A6B72"/>
            <w:tcMar>
              <w:top w:w="160" w:type="dxa"/>
              <w:left w:w="200" w:type="dxa"/>
              <w:bottom w:w="160" w:type="dxa"/>
              <w:right w:w="200" w:type="dxa"/>
            </w:tcMar>
          </w:tcPr>
          <w:p w14:paraId="002463DD">
            <w:pPr>
              <w:jc w:val="center"/>
            </w:pPr>
            <w:r>
              <w:rPr>
                <w:rFonts w:ascii="Arial" w:hAnsi="Arial" w:eastAsia="Arial" w:cs="Arial"/>
                <w:b/>
                <w:bCs/>
                <w:color w:val="FFFFFF"/>
                <w:sz w:val="22"/>
                <w:szCs w:val="22"/>
              </w:rPr>
              <w:t>Module ID: WSF-2024-01</w:t>
            </w:r>
          </w:p>
          <w:p w14:paraId="246F7346">
            <w:pPr>
              <w:jc w:val="center"/>
            </w:pPr>
            <w:r>
              <w:rPr>
                <w:rFonts w:ascii="Arial" w:hAnsi="Arial" w:eastAsia="Arial" w:cs="Arial"/>
                <w:color w:val="EEEEEE"/>
                <w:sz w:val="20"/>
                <w:szCs w:val="20"/>
              </w:rPr>
              <w:t>Duration: 3 Hours | Format: Self-Paced</w:t>
            </w:r>
          </w:p>
          <w:p w14:paraId="5077DAFC">
            <w:pPr>
              <w:jc w:val="center"/>
              <w:rPr>
                <w:rFonts w:hint="default"/>
                <w:lang w:val="en-US"/>
              </w:rPr>
            </w:pPr>
            <w:r>
              <w:rPr>
                <w:rFonts w:ascii="Arial" w:hAnsi="Arial" w:eastAsia="Arial" w:cs="Arial"/>
                <w:color w:val="EEEEEE"/>
                <w:sz w:val="20"/>
                <w:szCs w:val="20"/>
              </w:rPr>
              <w:t>Last Updated: Marc</w:t>
            </w:r>
            <w:r>
              <w:rPr>
                <w:rFonts w:hint="default" w:cs="Arial"/>
                <w:color w:val="EEEEEE"/>
                <w:sz w:val="20"/>
                <w:szCs w:val="20"/>
                <w:lang w:val="en-US"/>
              </w:rPr>
              <w:t xml:space="preserve">h </w:t>
            </w:r>
            <w:bookmarkStart w:id="0" w:name="_GoBack"/>
            <w:bookmarkEnd w:id="0"/>
            <w:r>
              <w:rPr>
                <w:rFonts w:hint="default" w:cs="Arial"/>
                <w:color w:val="EEEEEE"/>
                <w:sz w:val="20"/>
                <w:szCs w:val="20"/>
                <w:lang w:val="en-US"/>
              </w:rPr>
              <w:t>2026</w:t>
            </w:r>
          </w:p>
        </w:tc>
      </w:tr>
    </w:tbl>
    <w:p w14:paraId="24855E49">
      <w:pPr>
        <w:spacing w:before="40" w:after="40"/>
      </w:pPr>
    </w:p>
    <w:p w14:paraId="0F7D67BE">
      <w:pPr>
        <w:pStyle w:val="2"/>
        <w:spacing w:before="300" w:after="120"/>
      </w:pPr>
      <w:r>
        <w:rPr>
          <w:rFonts w:ascii="Arial" w:hAnsi="Arial" w:eastAsia="Arial" w:cs="Arial"/>
          <w:b/>
          <w:bCs/>
          <w:color w:val="1A6B72"/>
          <w:sz w:val="36"/>
          <w:szCs w:val="36"/>
        </w:rPr>
        <w:t>Section 1: Introduction to Workplace Safety</w:t>
      </w:r>
    </w:p>
    <w:p w14:paraId="7FE374C7">
      <w:pPr>
        <w:spacing w:before="120" w:after="120"/>
      </w:pPr>
      <w:r>
        <w:rPr>
          <w:rFonts w:ascii="Arial" w:hAnsi="Arial" w:eastAsia="Arial" w:cs="Arial"/>
          <w:b w:val="0"/>
          <w:bCs w:val="0"/>
          <w:color w:val="333333"/>
          <w:sz w:val="22"/>
          <w:szCs w:val="22"/>
        </w:rPr>
        <w:t>This module introduces foundational concepts in workplace safety. By the end of this module, learners will be able to identify hazards, apply safety protocols, and respond effectively to incidents in the workplace environment.</w:t>
      </w:r>
    </w:p>
    <w:p w14:paraId="7CEC3ED9">
      <w:pPr>
        <w:pStyle w:val="4"/>
        <w:spacing w:before="300" w:after="120"/>
      </w:pPr>
      <w:r>
        <w:rPr>
          <w:rFonts w:ascii="Arial" w:hAnsi="Arial" w:eastAsia="Arial" w:cs="Arial"/>
          <w:b/>
          <w:bCs/>
          <w:color w:val="1A6B72"/>
          <w:sz w:val="24"/>
          <w:szCs w:val="24"/>
        </w:rPr>
        <w:t>1.1.1 Why Safety Matters</w:t>
      </w:r>
    </w:p>
    <w:p w14:paraId="17233D25">
      <w:pPr>
        <w:spacing w:before="120" w:after="120"/>
      </w:pPr>
      <w:r>
        <w:rPr>
          <w:rFonts w:ascii="Arial" w:hAnsi="Arial" w:eastAsia="Arial" w:cs="Arial"/>
          <w:b w:val="0"/>
          <w:bCs w:val="0"/>
          <w:color w:val="333333"/>
          <w:sz w:val="22"/>
          <w:szCs w:val="22"/>
        </w:rPr>
        <w:t>Safety in the workplace is not just a legal obligation — it is a moral and operational imperative. Organizations that invest in safety culture experience lower absenteeism, higher employee morale, and improved productivity metrics.</w:t>
      </w:r>
    </w:p>
    <w:p w14:paraId="22B4A165">
      <w:pPr>
        <w:spacing w:before="100" w:after="100"/>
      </w:pPr>
      <w:r>
        <w:rPr>
          <w:rFonts w:ascii="Arial" w:hAnsi="Arial" w:eastAsia="Arial" w:cs="Arial"/>
          <w:i/>
          <w:iCs/>
          <w:color w:val="AAAAAA"/>
          <w:sz w:val="20"/>
          <w:szCs w:val="20"/>
        </w:rPr>
        <w:t>Note: Statistics show that 80% of workplace accidents are preventable through proper training and awareness programs.</w:t>
      </w:r>
    </w:p>
    <w:p w14:paraId="1FFFF46B">
      <w:pPr>
        <w:spacing w:before="120" w:after="120"/>
      </w:pPr>
      <w:r>
        <w:rPr>
          <w:rFonts w:ascii="Arial" w:hAnsi="Arial" w:eastAsia="Arial" w:cs="Arial"/>
          <w:sz w:val="22"/>
          <w:szCs w:val="22"/>
        </w:rPr>
        <w:t xml:space="preserve">For more information, please </w:t>
      </w:r>
      <w:r>
        <w:fldChar w:fldCharType="begin"/>
      </w:r>
      <w:r>
        <w:instrText xml:space="preserve"> HYPERLINK "https://www.osha.gov" </w:instrText>
      </w:r>
      <w:r>
        <w:fldChar w:fldCharType="separate"/>
      </w:r>
      <w:r>
        <w:rPr>
          <w:rFonts w:ascii="Arial" w:hAnsi="Arial" w:eastAsia="Arial" w:cs="Arial"/>
          <w:color w:val="0563C1"/>
          <w:sz w:val="22"/>
          <w:szCs w:val="22"/>
          <w:u w:val="single"/>
        </w:rPr>
        <w:t>click here</w:t>
      </w:r>
      <w:r>
        <w:rPr>
          <w:rFonts w:ascii="Arial" w:hAnsi="Arial" w:eastAsia="Arial" w:cs="Arial"/>
          <w:color w:val="0563C1"/>
          <w:sz w:val="22"/>
          <w:szCs w:val="22"/>
          <w:u w:val="single"/>
        </w:rPr>
        <w:fldChar w:fldCharType="end"/>
      </w:r>
      <w:r>
        <w:rPr>
          <w:rFonts w:ascii="Arial" w:hAnsi="Arial" w:eastAsia="Arial" w:cs="Arial"/>
          <w:sz w:val="22"/>
          <w:szCs w:val="22"/>
        </w:rPr>
        <w:t xml:space="preserve"> to visit the official safety guidelines portal.</w:t>
      </w:r>
    </w:p>
    <w:p w14:paraId="6097C0AE">
      <w:pPr>
        <w:pStyle w:val="2"/>
        <w:spacing w:before="300" w:after="120"/>
      </w:pPr>
      <w:r>
        <w:rPr>
          <w:rFonts w:ascii="Arial" w:hAnsi="Arial" w:eastAsia="Arial" w:cs="Arial"/>
          <w:b/>
          <w:bCs/>
          <w:color w:val="1A6B72"/>
          <w:sz w:val="36"/>
          <w:szCs w:val="36"/>
        </w:rPr>
        <w:t>Section 2: Hazard Identification &amp; Risk Assessment</w:t>
      </w:r>
    </w:p>
    <w:p w14:paraId="6ABF33C4">
      <w:pPr>
        <w:pStyle w:val="3"/>
        <w:spacing w:before="300" w:after="120"/>
      </w:pPr>
      <w:r>
        <w:rPr>
          <w:rFonts w:ascii="Arial" w:hAnsi="Arial" w:eastAsia="Arial" w:cs="Arial"/>
          <w:b/>
          <w:bCs/>
          <w:color w:val="1A6B72"/>
          <w:sz w:val="28"/>
          <w:szCs w:val="28"/>
        </w:rPr>
        <w:t>2.1 Types of Workplace Hazards</w:t>
      </w:r>
    </w:p>
    <w:p w14:paraId="695AE6EC">
      <w:pPr>
        <w:spacing w:before="120" w:after="120"/>
      </w:pPr>
      <w:r>
        <w:rPr>
          <w:rFonts w:ascii="Arial" w:hAnsi="Arial" w:eastAsia="Arial" w:cs="Arial"/>
          <w:b w:val="0"/>
          <w:bCs w:val="0"/>
          <w:color w:val="333333"/>
          <w:sz w:val="22"/>
          <w:szCs w:val="22"/>
        </w:rPr>
        <w:t>Workplace hazards are broadly classified into the following six categories. Each category requires a tailored approach to risk mitigation: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4360"/>
        <w:gridCol w:w="3200"/>
      </w:tblGrid>
      <w:tr w14:paraId="7A0A8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1A6B72"/>
            <w:tcMar>
              <w:top w:w="80" w:type="dxa"/>
              <w:left w:w="120" w:type="dxa"/>
              <w:bottom w:w="80" w:type="dxa"/>
              <w:right w:w="120" w:type="dxa"/>
            </w:tcMar>
          </w:tcPr>
          <w:p w14:paraId="768E8850">
            <w:r>
              <w:rPr>
                <w:rFonts w:ascii="Arial" w:hAnsi="Arial" w:eastAsia="Arial" w:cs="Arial"/>
                <w:b/>
                <w:bCs/>
                <w:color w:val="FFFFFF"/>
                <w:sz w:val="20"/>
                <w:szCs w:val="20"/>
              </w:rPr>
              <w:t>Hazard Type</w:t>
            </w:r>
          </w:p>
        </w:tc>
        <w:tc>
          <w:tcPr>
            <w:tcW w:w="4360" w:type="dxa"/>
            <w:tcBorders>
              <w:top w:val="single" w:color="CCCCCC" w:sz="0" w:space="0"/>
              <w:left w:val="single" w:color="CCCCCC" w:sz="0" w:space="0"/>
              <w:bottom w:val="single" w:color="CCCCCC" w:sz="0" w:space="0"/>
              <w:right w:val="single" w:color="CCCCCC" w:sz="0" w:space="0"/>
            </w:tcBorders>
            <w:shd w:val="clear" w:color="auto" w:fill="1A6B72"/>
            <w:tcMar>
              <w:top w:w="80" w:type="dxa"/>
              <w:left w:w="120" w:type="dxa"/>
              <w:bottom w:w="80" w:type="dxa"/>
              <w:right w:w="120" w:type="dxa"/>
            </w:tcMar>
          </w:tcPr>
          <w:p w14:paraId="175E96D5">
            <w:r>
              <w:rPr>
                <w:rFonts w:ascii="Arial" w:hAnsi="Arial" w:eastAsia="Arial" w:cs="Arial"/>
                <w:b/>
                <w:bCs/>
                <w:color w:val="FFFFFF"/>
                <w:sz w:val="20"/>
                <w:szCs w:val="20"/>
              </w:rPr>
              <w:t>Description</w:t>
            </w:r>
          </w:p>
        </w:tc>
        <w:tc>
          <w:tcPr>
            <w:tcW w:w="3200" w:type="dxa"/>
            <w:tcBorders>
              <w:top w:val="single" w:color="CCCCCC" w:sz="0" w:space="0"/>
              <w:left w:val="single" w:color="CCCCCC" w:sz="0" w:space="0"/>
              <w:bottom w:val="single" w:color="CCCCCC" w:sz="0" w:space="0"/>
              <w:right w:val="single" w:color="CCCCCC" w:sz="0" w:space="0"/>
            </w:tcBorders>
            <w:shd w:val="clear" w:color="auto" w:fill="1A6B72"/>
            <w:tcMar>
              <w:top w:w="80" w:type="dxa"/>
              <w:left w:w="120" w:type="dxa"/>
              <w:bottom w:w="80" w:type="dxa"/>
              <w:right w:w="120" w:type="dxa"/>
            </w:tcMar>
          </w:tcPr>
          <w:p w14:paraId="348826D5">
            <w:r>
              <w:rPr>
                <w:rFonts w:ascii="Arial" w:hAnsi="Arial" w:eastAsia="Arial" w:cs="Arial"/>
                <w:b/>
                <w:bCs/>
                <w:color w:val="FFFFFF"/>
                <w:sz w:val="20"/>
                <w:szCs w:val="20"/>
              </w:rPr>
              <w:t>Common Examples</w:t>
            </w:r>
          </w:p>
        </w:tc>
      </w:tr>
      <w:tr w14:paraId="3EC65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2DA0A2">
            <w:r>
              <w:rPr>
                <w:rFonts w:ascii="Arial" w:hAnsi="Arial" w:eastAsia="Arial" w:cs="Arial"/>
                <w:b w:val="0"/>
                <w:bCs w:val="0"/>
                <w:color w:val="000000"/>
                <w:sz w:val="20"/>
                <w:szCs w:val="20"/>
              </w:rPr>
              <w:t>Physical</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E3252C">
            <w:r>
              <w:rPr>
                <w:rFonts w:ascii="Arial" w:hAnsi="Arial" w:eastAsia="Arial" w:cs="Arial"/>
                <w:b w:val="0"/>
                <w:bCs w:val="0"/>
                <w:color w:val="000000"/>
                <w:sz w:val="20"/>
                <w:szCs w:val="20"/>
              </w:rPr>
              <w:t>Risks from the work environment itself</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69DBAA">
            <w:r>
              <w:rPr>
                <w:rFonts w:ascii="Arial" w:hAnsi="Arial" w:eastAsia="Arial" w:cs="Arial"/>
                <w:b w:val="0"/>
                <w:bCs w:val="0"/>
                <w:color w:val="000000"/>
                <w:sz w:val="20"/>
                <w:szCs w:val="20"/>
              </w:rPr>
              <w:t>Noise, radiation, temperature extremes</w:t>
            </w:r>
          </w:p>
        </w:tc>
      </w:tr>
      <w:tr w14:paraId="4C2B5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653503B">
            <w:r>
              <w:rPr>
                <w:rFonts w:ascii="Arial" w:hAnsi="Arial" w:eastAsia="Arial" w:cs="Arial"/>
                <w:b w:val="0"/>
                <w:bCs w:val="0"/>
                <w:color w:val="000000"/>
                <w:sz w:val="20"/>
                <w:szCs w:val="20"/>
              </w:rPr>
              <w:t>Chemical</w:t>
            </w:r>
          </w:p>
        </w:tc>
        <w:tc>
          <w:tcPr>
            <w:tcW w:w="43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131D4E0">
            <w:r>
              <w:rPr>
                <w:rFonts w:ascii="Arial" w:hAnsi="Arial" w:eastAsia="Arial" w:cs="Arial"/>
                <w:b w:val="0"/>
                <w:bCs w:val="0"/>
                <w:color w:val="000000"/>
                <w:sz w:val="20"/>
                <w:szCs w:val="20"/>
              </w:rPr>
              <w:t>Exposure to harmful substances</w:t>
            </w:r>
          </w:p>
        </w:tc>
        <w:tc>
          <w:tcPr>
            <w:tcW w:w="3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7413515">
            <w:r>
              <w:rPr>
                <w:rFonts w:ascii="Arial" w:hAnsi="Arial" w:eastAsia="Arial" w:cs="Arial"/>
                <w:b w:val="0"/>
                <w:bCs w:val="0"/>
                <w:color w:val="000000"/>
                <w:sz w:val="20"/>
                <w:szCs w:val="20"/>
              </w:rPr>
              <w:t>Solvents, pesticides, heavy metals</w:t>
            </w:r>
          </w:p>
        </w:tc>
      </w:tr>
      <w:tr w14:paraId="4FC4F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79B193">
            <w:r>
              <w:rPr>
                <w:rFonts w:ascii="Arial" w:hAnsi="Arial" w:eastAsia="Arial" w:cs="Arial"/>
                <w:b w:val="0"/>
                <w:bCs w:val="0"/>
                <w:color w:val="000000"/>
                <w:sz w:val="20"/>
                <w:szCs w:val="20"/>
              </w:rPr>
              <w:t>Biological</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1BA313">
            <w:r>
              <w:rPr>
                <w:rFonts w:ascii="Arial" w:hAnsi="Arial" w:eastAsia="Arial" w:cs="Arial"/>
                <w:b w:val="0"/>
                <w:bCs w:val="0"/>
                <w:color w:val="000000"/>
                <w:sz w:val="20"/>
                <w:szCs w:val="20"/>
              </w:rPr>
              <w:t>Exposure to living organisms</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5764E6F">
            <w:r>
              <w:rPr>
                <w:rFonts w:ascii="Arial" w:hAnsi="Arial" w:eastAsia="Arial" w:cs="Arial"/>
                <w:b w:val="0"/>
                <w:bCs w:val="0"/>
                <w:color w:val="000000"/>
                <w:sz w:val="20"/>
                <w:szCs w:val="20"/>
              </w:rPr>
              <w:t>Bacteria, viruses, mould, blood-borne pathogens</w:t>
            </w:r>
          </w:p>
        </w:tc>
      </w:tr>
      <w:tr w14:paraId="708F8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123D053">
            <w:r>
              <w:rPr>
                <w:rFonts w:ascii="Arial" w:hAnsi="Arial" w:eastAsia="Arial" w:cs="Arial"/>
                <w:b w:val="0"/>
                <w:bCs w:val="0"/>
                <w:color w:val="000000"/>
                <w:sz w:val="20"/>
                <w:szCs w:val="20"/>
              </w:rPr>
              <w:t>Ergonomic</w:t>
            </w:r>
          </w:p>
        </w:tc>
        <w:tc>
          <w:tcPr>
            <w:tcW w:w="43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DE3B7F7">
            <w:r>
              <w:rPr>
                <w:rFonts w:ascii="Arial" w:hAnsi="Arial" w:eastAsia="Arial" w:cs="Arial"/>
                <w:b w:val="0"/>
                <w:bCs w:val="0"/>
                <w:color w:val="000000"/>
                <w:sz w:val="20"/>
                <w:szCs w:val="20"/>
              </w:rPr>
              <w:t>Physical strain from repetitive tasks</w:t>
            </w:r>
          </w:p>
        </w:tc>
        <w:tc>
          <w:tcPr>
            <w:tcW w:w="3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1C108AF">
            <w:r>
              <w:rPr>
                <w:rFonts w:ascii="Arial" w:hAnsi="Arial" w:eastAsia="Arial" w:cs="Arial"/>
                <w:b w:val="0"/>
                <w:bCs w:val="0"/>
                <w:color w:val="000000"/>
                <w:sz w:val="20"/>
                <w:szCs w:val="20"/>
              </w:rPr>
              <w:t>Poor posture, manual handling, repetitive motion</w:t>
            </w:r>
          </w:p>
        </w:tc>
      </w:tr>
      <w:tr w14:paraId="5DE18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542765">
            <w:r>
              <w:rPr>
                <w:rFonts w:ascii="Arial" w:hAnsi="Arial" w:eastAsia="Arial" w:cs="Arial"/>
                <w:b w:val="0"/>
                <w:bCs w:val="0"/>
                <w:color w:val="000000"/>
                <w:sz w:val="20"/>
                <w:szCs w:val="20"/>
              </w:rPr>
              <w:t>Psychosocial</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780DE2">
            <w:pPr>
              <w:rPr>
                <w:rFonts w:hint="default"/>
                <w:lang w:val="en-US"/>
              </w:rPr>
            </w:pPr>
            <w:r>
              <w:rPr>
                <w:rFonts w:ascii="Arial" w:hAnsi="Arial" w:eastAsia="Arial" w:cs="Arial"/>
                <w:b w:val="0"/>
                <w:bCs w:val="0"/>
                <w:color w:val="000000"/>
                <w:sz w:val="20"/>
                <w:szCs w:val="20"/>
              </w:rPr>
              <w:t>Mental and emotional stress</w:t>
            </w:r>
            <w:r>
              <w:rPr>
                <w:rFonts w:hint="default" w:cs="Arial"/>
                <w:b w:val="0"/>
                <w:bCs w:val="0"/>
                <w:color w:val="000000"/>
                <w:sz w:val="20"/>
                <w:szCs w:val="20"/>
                <w:lang w:val="en-US"/>
              </w:rPr>
              <w:t>ors</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511A36">
            <w:r>
              <w:rPr>
                <w:rFonts w:ascii="Arial" w:hAnsi="Arial" w:eastAsia="Arial" w:cs="Arial"/>
                <w:b w:val="0"/>
                <w:bCs w:val="0"/>
                <w:color w:val="000000"/>
                <w:sz w:val="20"/>
                <w:szCs w:val="20"/>
              </w:rPr>
              <w:t>Workplace violence, burnout, harassment</w:t>
            </w:r>
          </w:p>
        </w:tc>
      </w:tr>
      <w:tr w14:paraId="6124E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A878468">
            <w:r>
              <w:rPr>
                <w:rFonts w:ascii="Arial" w:hAnsi="Arial" w:eastAsia="Arial" w:cs="Arial"/>
                <w:b w:val="0"/>
                <w:bCs w:val="0"/>
                <w:color w:val="000000"/>
                <w:sz w:val="20"/>
                <w:szCs w:val="20"/>
              </w:rPr>
              <w:t>Safety Hazards</w:t>
            </w:r>
          </w:p>
        </w:tc>
        <w:tc>
          <w:tcPr>
            <w:tcW w:w="43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7A1CE7B">
            <w:r>
              <w:rPr>
                <w:rFonts w:ascii="Arial" w:hAnsi="Arial" w:eastAsia="Arial" w:cs="Arial"/>
                <w:b w:val="0"/>
                <w:bCs w:val="0"/>
                <w:color w:val="000000"/>
                <w:sz w:val="20"/>
                <w:szCs w:val="20"/>
              </w:rPr>
              <w:t>Conditions that can cause injury</w:t>
            </w:r>
          </w:p>
        </w:tc>
        <w:tc>
          <w:tcPr>
            <w:tcW w:w="3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D11D2A9">
            <w:r>
              <w:rPr>
                <w:rFonts w:ascii="Arial" w:hAnsi="Arial" w:eastAsia="Arial" w:cs="Arial"/>
                <w:b w:val="0"/>
                <w:bCs w:val="0"/>
                <w:color w:val="000000"/>
                <w:sz w:val="20"/>
                <w:szCs w:val="20"/>
              </w:rPr>
              <w:t>Slippery floors, exposed wiring, unsecured machinery</w:t>
            </w:r>
          </w:p>
        </w:tc>
      </w:tr>
    </w:tbl>
    <w:p w14:paraId="0FEA84FB">
      <w:pPr>
        <w:spacing w:before="120" w:after="120"/>
      </w:pPr>
    </w:p>
    <w:p w14:paraId="61D43CA7">
      <w:pPr>
        <w:pStyle w:val="3"/>
        <w:spacing w:before="300" w:after="120"/>
      </w:pPr>
      <w:r>
        <w:rPr>
          <w:rFonts w:ascii="Arial" w:hAnsi="Arial" w:eastAsia="Arial" w:cs="Arial"/>
          <w:b/>
          <w:bCs/>
          <w:color w:val="1A6B72"/>
          <w:sz w:val="28"/>
          <w:szCs w:val="28"/>
        </w:rPr>
        <w:t>2.2 Risk Assessment Matrix</w:t>
      </w:r>
    </w:p>
    <w:p w14:paraId="4F5F9C8F">
      <w:pPr>
        <w:spacing w:before="120" w:after="120"/>
      </w:pPr>
      <w:r>
        <w:rPr>
          <w:rFonts w:ascii="Arial" w:hAnsi="Arial" w:eastAsia="Arial" w:cs="Arial"/>
          <w:b w:val="0"/>
          <w:bCs w:val="0"/>
          <w:color w:val="333333"/>
          <w:sz w:val="22"/>
          <w:szCs w:val="22"/>
        </w:rPr>
        <w:t>Use the following 3x3 risk matrix to prioritize mitigation efforts. Likelihood is rated 1–3 (Low to High); Severity is rated 1–3 (Minor to Critical).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1C869553">
        <w:tblPrEx>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1A6B72"/>
            <w:tcMar>
              <w:top w:w="80" w:type="dxa"/>
              <w:left w:w="120" w:type="dxa"/>
              <w:bottom w:w="80" w:type="dxa"/>
              <w:right w:w="120" w:type="dxa"/>
            </w:tcMar>
          </w:tcPr>
          <w:p w14:paraId="1FB50E0D">
            <w:r>
              <w:rPr>
                <w:rFonts w:ascii="Arial" w:hAnsi="Arial" w:eastAsia="Arial" w:cs="Arial"/>
                <w:b/>
                <w:bCs/>
                <w:color w:val="FFFFFF"/>
                <w:sz w:val="20"/>
                <w:szCs w:val="20"/>
              </w:rPr>
              <w:t>Likelihood \ Severity</w:t>
            </w:r>
          </w:p>
        </w:tc>
        <w:tc>
          <w:tcPr>
            <w:tcW w:w="2340" w:type="dxa"/>
            <w:tcBorders>
              <w:top w:val="single" w:color="CCCCCC" w:sz="0" w:space="0"/>
              <w:left w:val="single" w:color="CCCCCC" w:sz="0" w:space="0"/>
              <w:bottom w:val="single" w:color="CCCCCC" w:sz="0" w:space="0"/>
              <w:right w:val="single" w:color="CCCCCC" w:sz="0" w:space="0"/>
            </w:tcBorders>
            <w:shd w:val="clear" w:color="auto" w:fill="1A6B72"/>
            <w:tcMar>
              <w:top w:w="80" w:type="dxa"/>
              <w:left w:w="120" w:type="dxa"/>
              <w:bottom w:w="80" w:type="dxa"/>
              <w:right w:w="120" w:type="dxa"/>
            </w:tcMar>
          </w:tcPr>
          <w:p w14:paraId="1A3A1196">
            <w:r>
              <w:rPr>
                <w:rFonts w:ascii="Arial" w:hAnsi="Arial" w:eastAsia="Arial" w:cs="Arial"/>
                <w:b/>
                <w:bCs/>
                <w:color w:val="FFFFFF"/>
                <w:sz w:val="20"/>
                <w:szCs w:val="20"/>
              </w:rPr>
              <w:t>Minor (1)</w:t>
            </w:r>
          </w:p>
        </w:tc>
        <w:tc>
          <w:tcPr>
            <w:tcW w:w="2340" w:type="dxa"/>
            <w:tcBorders>
              <w:top w:val="single" w:color="CCCCCC" w:sz="0" w:space="0"/>
              <w:left w:val="single" w:color="CCCCCC" w:sz="0" w:space="0"/>
              <w:bottom w:val="single" w:color="CCCCCC" w:sz="0" w:space="0"/>
              <w:right w:val="single" w:color="CCCCCC" w:sz="0" w:space="0"/>
            </w:tcBorders>
            <w:shd w:val="clear" w:color="auto" w:fill="1A6B72"/>
            <w:tcMar>
              <w:top w:w="80" w:type="dxa"/>
              <w:left w:w="120" w:type="dxa"/>
              <w:bottom w:w="80" w:type="dxa"/>
              <w:right w:w="120" w:type="dxa"/>
            </w:tcMar>
          </w:tcPr>
          <w:p w14:paraId="3CAD9808">
            <w:r>
              <w:rPr>
                <w:rFonts w:ascii="Arial" w:hAnsi="Arial" w:eastAsia="Arial" w:cs="Arial"/>
                <w:b/>
                <w:bCs/>
                <w:color w:val="FFFFFF"/>
                <w:sz w:val="20"/>
                <w:szCs w:val="20"/>
              </w:rPr>
              <w:t>Moderate (2)</w:t>
            </w:r>
          </w:p>
        </w:tc>
        <w:tc>
          <w:tcPr>
            <w:tcW w:w="2340" w:type="dxa"/>
            <w:tcBorders>
              <w:top w:val="single" w:color="CCCCCC" w:sz="0" w:space="0"/>
              <w:left w:val="single" w:color="CCCCCC" w:sz="0" w:space="0"/>
              <w:bottom w:val="single" w:color="CCCCCC" w:sz="0" w:space="0"/>
              <w:right w:val="single" w:color="CCCCCC" w:sz="0" w:space="0"/>
            </w:tcBorders>
            <w:shd w:val="clear" w:color="auto" w:fill="1A6B72"/>
            <w:tcMar>
              <w:top w:w="80" w:type="dxa"/>
              <w:left w:w="120" w:type="dxa"/>
              <w:bottom w:w="80" w:type="dxa"/>
              <w:right w:w="120" w:type="dxa"/>
            </w:tcMar>
          </w:tcPr>
          <w:p w14:paraId="30079D18">
            <w:r>
              <w:rPr>
                <w:rFonts w:ascii="Arial" w:hAnsi="Arial" w:eastAsia="Arial" w:cs="Arial"/>
                <w:b/>
                <w:bCs/>
                <w:color w:val="FFFFFF"/>
                <w:sz w:val="20"/>
                <w:szCs w:val="20"/>
              </w:rPr>
              <w:t>Critical (3)</w:t>
            </w:r>
          </w:p>
        </w:tc>
      </w:tr>
      <w:tr w14:paraId="6B153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3630B49">
            <w:r>
              <w:rPr>
                <w:rFonts w:ascii="Arial" w:hAnsi="Arial" w:eastAsia="Arial" w:cs="Arial"/>
                <w:b/>
                <w:bCs/>
                <w:color w:val="000000"/>
                <w:sz w:val="20"/>
                <w:szCs w:val="20"/>
              </w:rPr>
              <w:t>Low (1)</w:t>
            </w:r>
          </w:p>
        </w:tc>
        <w:tc>
          <w:tcPr>
            <w:tcW w:w="2340" w:type="dxa"/>
            <w:tcBorders>
              <w:top w:val="single" w:color="CCCCCC" w:sz="0" w:space="0"/>
              <w:left w:val="single" w:color="CCCCCC" w:sz="0" w:space="0"/>
              <w:bottom w:val="single" w:color="CCCCCC" w:sz="0" w:space="0"/>
              <w:right w:val="single" w:color="CCCCCC" w:sz="0" w:space="0"/>
            </w:tcBorders>
            <w:shd w:val="clear" w:color="auto" w:fill="D5F5E3"/>
            <w:tcMar>
              <w:top w:w="80" w:type="dxa"/>
              <w:left w:w="120" w:type="dxa"/>
              <w:bottom w:w="80" w:type="dxa"/>
              <w:right w:w="120" w:type="dxa"/>
            </w:tcMar>
          </w:tcPr>
          <w:p w14:paraId="6B7BE8FF">
            <w:r>
              <w:rPr>
                <w:rFonts w:ascii="Arial" w:hAnsi="Arial" w:eastAsia="Arial" w:cs="Arial"/>
                <w:b w:val="0"/>
                <w:bCs w:val="0"/>
                <w:color w:val="000000"/>
                <w:sz w:val="20"/>
                <w:szCs w:val="20"/>
              </w:rPr>
              <w:t>1 — Negligible</w:t>
            </w:r>
          </w:p>
        </w:tc>
        <w:tc>
          <w:tcPr>
            <w:tcW w:w="2340" w:type="dxa"/>
            <w:tcBorders>
              <w:top w:val="single" w:color="CCCCCC" w:sz="0" w:space="0"/>
              <w:left w:val="single" w:color="CCCCCC" w:sz="0" w:space="0"/>
              <w:bottom w:val="single" w:color="CCCCCC" w:sz="0" w:space="0"/>
              <w:right w:val="single" w:color="CCCCCC" w:sz="0" w:space="0"/>
            </w:tcBorders>
            <w:shd w:val="clear" w:color="auto" w:fill="D5F5E3"/>
            <w:tcMar>
              <w:top w:w="80" w:type="dxa"/>
              <w:left w:w="120" w:type="dxa"/>
              <w:bottom w:w="80" w:type="dxa"/>
              <w:right w:w="120" w:type="dxa"/>
            </w:tcMar>
          </w:tcPr>
          <w:p w14:paraId="09FE1730">
            <w:r>
              <w:rPr>
                <w:rFonts w:ascii="Arial" w:hAnsi="Arial" w:eastAsia="Arial" w:cs="Arial"/>
                <w:b w:val="0"/>
                <w:bCs w:val="0"/>
                <w:color w:val="000000"/>
                <w:sz w:val="20"/>
                <w:szCs w:val="20"/>
              </w:rPr>
              <w:t>2 — Low</w:t>
            </w:r>
          </w:p>
        </w:tc>
        <w:tc>
          <w:tcPr>
            <w:tcW w:w="2340" w:type="dxa"/>
            <w:tcBorders>
              <w:top w:val="single" w:color="CCCCCC" w:sz="0" w:space="0"/>
              <w:left w:val="single" w:color="CCCCCC" w:sz="0" w:space="0"/>
              <w:bottom w:val="single" w:color="CCCCCC" w:sz="0" w:space="0"/>
              <w:right w:val="single" w:color="CCCCCC" w:sz="0" w:space="0"/>
            </w:tcBorders>
            <w:shd w:val="clear" w:color="auto" w:fill="FEF9E7"/>
            <w:tcMar>
              <w:top w:w="80" w:type="dxa"/>
              <w:left w:w="120" w:type="dxa"/>
              <w:bottom w:w="80" w:type="dxa"/>
              <w:right w:w="120" w:type="dxa"/>
            </w:tcMar>
          </w:tcPr>
          <w:p w14:paraId="344B4391">
            <w:r>
              <w:rPr>
                <w:rFonts w:ascii="Arial" w:hAnsi="Arial" w:eastAsia="Arial" w:cs="Arial"/>
                <w:b w:val="0"/>
                <w:bCs w:val="0"/>
                <w:color w:val="000000"/>
                <w:sz w:val="20"/>
                <w:szCs w:val="20"/>
              </w:rPr>
              <w:t>3 — Medium</w:t>
            </w:r>
          </w:p>
        </w:tc>
      </w:tr>
      <w:tr w14:paraId="1FFA4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2AB5965">
            <w:r>
              <w:rPr>
                <w:rFonts w:ascii="Arial" w:hAnsi="Arial" w:eastAsia="Arial" w:cs="Arial"/>
                <w:b/>
                <w:bCs/>
                <w:color w:val="000000"/>
                <w:sz w:val="20"/>
                <w:szCs w:val="20"/>
              </w:rPr>
              <w:t>Medium (2)</w:t>
            </w:r>
          </w:p>
        </w:tc>
        <w:tc>
          <w:tcPr>
            <w:tcW w:w="2340" w:type="dxa"/>
            <w:tcBorders>
              <w:top w:val="single" w:color="CCCCCC" w:sz="0" w:space="0"/>
              <w:left w:val="single" w:color="CCCCCC" w:sz="0" w:space="0"/>
              <w:bottom w:val="single" w:color="CCCCCC" w:sz="0" w:space="0"/>
              <w:right w:val="single" w:color="CCCCCC" w:sz="0" w:space="0"/>
            </w:tcBorders>
            <w:shd w:val="clear" w:color="auto" w:fill="D5F5E3"/>
            <w:tcMar>
              <w:top w:w="80" w:type="dxa"/>
              <w:left w:w="120" w:type="dxa"/>
              <w:bottom w:w="80" w:type="dxa"/>
              <w:right w:w="120" w:type="dxa"/>
            </w:tcMar>
          </w:tcPr>
          <w:p w14:paraId="626C87BF">
            <w:r>
              <w:rPr>
                <w:rFonts w:ascii="Arial" w:hAnsi="Arial" w:eastAsia="Arial" w:cs="Arial"/>
                <w:b w:val="0"/>
                <w:bCs w:val="0"/>
                <w:color w:val="000000"/>
                <w:sz w:val="20"/>
                <w:szCs w:val="20"/>
              </w:rPr>
              <w:t>2 — Low</w:t>
            </w:r>
          </w:p>
        </w:tc>
        <w:tc>
          <w:tcPr>
            <w:tcW w:w="2340" w:type="dxa"/>
            <w:tcBorders>
              <w:top w:val="single" w:color="CCCCCC" w:sz="0" w:space="0"/>
              <w:left w:val="single" w:color="CCCCCC" w:sz="0" w:space="0"/>
              <w:bottom w:val="single" w:color="CCCCCC" w:sz="0" w:space="0"/>
              <w:right w:val="single" w:color="CCCCCC" w:sz="0" w:space="0"/>
            </w:tcBorders>
            <w:shd w:val="clear" w:color="auto" w:fill="FEF9E7"/>
            <w:tcMar>
              <w:top w:w="80" w:type="dxa"/>
              <w:left w:w="120" w:type="dxa"/>
              <w:bottom w:w="80" w:type="dxa"/>
              <w:right w:w="120" w:type="dxa"/>
            </w:tcMar>
          </w:tcPr>
          <w:p w14:paraId="1A631749">
            <w:r>
              <w:rPr>
                <w:rFonts w:ascii="Arial" w:hAnsi="Arial" w:eastAsia="Arial" w:cs="Arial"/>
                <w:b w:val="0"/>
                <w:bCs w:val="0"/>
                <w:color w:val="000000"/>
                <w:sz w:val="20"/>
                <w:szCs w:val="20"/>
              </w:rPr>
              <w:t>4 — Medium</w:t>
            </w:r>
          </w:p>
        </w:tc>
        <w:tc>
          <w:tcPr>
            <w:tcW w:w="2340" w:type="dxa"/>
            <w:tcBorders>
              <w:top w:val="single" w:color="CCCCCC" w:sz="0" w:space="0"/>
              <w:left w:val="single" w:color="CCCCCC" w:sz="0" w:space="0"/>
              <w:bottom w:val="single" w:color="CCCCCC" w:sz="0" w:space="0"/>
              <w:right w:val="single" w:color="CCCCCC" w:sz="0" w:space="0"/>
            </w:tcBorders>
            <w:shd w:val="clear" w:color="auto" w:fill="FDEBD0"/>
            <w:tcMar>
              <w:top w:w="80" w:type="dxa"/>
              <w:left w:w="120" w:type="dxa"/>
              <w:bottom w:w="80" w:type="dxa"/>
              <w:right w:w="120" w:type="dxa"/>
            </w:tcMar>
          </w:tcPr>
          <w:p w14:paraId="7F19BE18">
            <w:r>
              <w:rPr>
                <w:rFonts w:ascii="Arial" w:hAnsi="Arial" w:eastAsia="Arial" w:cs="Arial"/>
                <w:b w:val="0"/>
                <w:bCs w:val="0"/>
                <w:color w:val="000000"/>
                <w:sz w:val="20"/>
                <w:szCs w:val="20"/>
              </w:rPr>
              <w:t>6 — High</w:t>
            </w:r>
          </w:p>
        </w:tc>
      </w:tr>
      <w:tr w14:paraId="393A5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B68BD60">
            <w:r>
              <w:rPr>
                <w:rFonts w:ascii="Arial" w:hAnsi="Arial" w:eastAsia="Arial" w:cs="Arial"/>
                <w:b/>
                <w:bCs/>
                <w:color w:val="000000"/>
                <w:sz w:val="20"/>
                <w:szCs w:val="20"/>
              </w:rPr>
              <w:t>High (3)</w:t>
            </w:r>
          </w:p>
        </w:tc>
        <w:tc>
          <w:tcPr>
            <w:tcW w:w="2340" w:type="dxa"/>
            <w:tcBorders>
              <w:top w:val="single" w:color="CCCCCC" w:sz="0" w:space="0"/>
              <w:left w:val="single" w:color="CCCCCC" w:sz="0" w:space="0"/>
              <w:bottom w:val="single" w:color="CCCCCC" w:sz="0" w:space="0"/>
              <w:right w:val="single" w:color="CCCCCC" w:sz="0" w:space="0"/>
            </w:tcBorders>
            <w:shd w:val="clear" w:color="auto" w:fill="FEF9E7"/>
            <w:tcMar>
              <w:top w:w="80" w:type="dxa"/>
              <w:left w:w="120" w:type="dxa"/>
              <w:bottom w:w="80" w:type="dxa"/>
              <w:right w:w="120" w:type="dxa"/>
            </w:tcMar>
          </w:tcPr>
          <w:p w14:paraId="4DE14CF3">
            <w:r>
              <w:rPr>
                <w:rFonts w:ascii="Arial" w:hAnsi="Arial" w:eastAsia="Arial" w:cs="Arial"/>
                <w:b w:val="0"/>
                <w:bCs w:val="0"/>
                <w:color w:val="000000"/>
                <w:sz w:val="20"/>
                <w:szCs w:val="20"/>
              </w:rPr>
              <w:t>3 — Medium</w:t>
            </w:r>
          </w:p>
        </w:tc>
        <w:tc>
          <w:tcPr>
            <w:tcW w:w="2340" w:type="dxa"/>
            <w:tcBorders>
              <w:top w:val="single" w:color="CCCCCC" w:sz="0" w:space="0"/>
              <w:left w:val="single" w:color="CCCCCC" w:sz="0" w:space="0"/>
              <w:bottom w:val="single" w:color="CCCCCC" w:sz="0" w:space="0"/>
              <w:right w:val="single" w:color="CCCCCC" w:sz="0" w:space="0"/>
            </w:tcBorders>
            <w:shd w:val="clear" w:color="auto" w:fill="FDEBD0"/>
            <w:tcMar>
              <w:top w:w="80" w:type="dxa"/>
              <w:left w:w="120" w:type="dxa"/>
              <w:bottom w:w="80" w:type="dxa"/>
              <w:right w:w="120" w:type="dxa"/>
            </w:tcMar>
          </w:tcPr>
          <w:p w14:paraId="2EB83BF3">
            <w:r>
              <w:rPr>
                <w:rFonts w:ascii="Arial" w:hAnsi="Arial" w:eastAsia="Arial" w:cs="Arial"/>
                <w:b w:val="0"/>
                <w:bCs w:val="0"/>
                <w:color w:val="000000"/>
                <w:sz w:val="20"/>
                <w:szCs w:val="20"/>
              </w:rPr>
              <w:t>6 — High</w:t>
            </w:r>
          </w:p>
        </w:tc>
        <w:tc>
          <w:tcPr>
            <w:tcW w:w="2340" w:type="dxa"/>
            <w:tcBorders>
              <w:top w:val="single" w:color="CCCCCC" w:sz="0" w:space="0"/>
              <w:left w:val="single" w:color="CCCCCC" w:sz="0" w:space="0"/>
              <w:bottom w:val="single" w:color="CCCCCC" w:sz="0" w:space="0"/>
              <w:right w:val="single" w:color="CCCCCC" w:sz="0" w:space="0"/>
            </w:tcBorders>
            <w:shd w:val="clear" w:color="auto" w:fill="FADBD8"/>
            <w:tcMar>
              <w:top w:w="80" w:type="dxa"/>
              <w:left w:w="120" w:type="dxa"/>
              <w:bottom w:w="80" w:type="dxa"/>
              <w:right w:w="120" w:type="dxa"/>
            </w:tcMar>
          </w:tcPr>
          <w:p w14:paraId="215C6003">
            <w:r>
              <w:rPr>
                <w:rFonts w:ascii="Arial" w:hAnsi="Arial" w:eastAsia="Arial" w:cs="Arial"/>
                <w:b w:val="0"/>
                <w:bCs w:val="0"/>
                <w:color w:val="000000"/>
                <w:sz w:val="20"/>
                <w:szCs w:val="20"/>
              </w:rPr>
              <w:t>9 — Critical</w:t>
            </w:r>
          </w:p>
        </w:tc>
      </w:tr>
    </w:tbl>
    <w:p w14:paraId="2BB417C1">
      <w:pPr>
        <w:spacing w:before="120" w:after="120"/>
      </w:pPr>
    </w:p>
    <w:p w14:paraId="1DEBC4BE">
      <w:pPr>
        <w:spacing w:before="120" w:after="120"/>
      </w:pPr>
      <w:r>
        <w:rPr>
          <w:rFonts w:ascii="Arial" w:hAnsi="Arial" w:eastAsia="Arial" w:cs="Arial"/>
          <w:b w:val="0"/>
          <w:bCs w:val="0"/>
          <w:color w:val="888888"/>
          <w:sz w:val="20"/>
          <w:szCs w:val="20"/>
        </w:rPr>
        <w:t>Figure 1: Workplace hazard identification process flow.</w:t>
      </w:r>
    </w:p>
    <w:p w14:paraId="25B52A47">
      <w:pPr>
        <w:spacing w:before="120" w:after="120"/>
      </w:pPr>
      <w:r>
        <w:rPr>
          <w:rFonts w:ascii="Arial" w:hAnsi="Arial" w:eastAsia="Arial" w:cs="Arial"/>
          <w:b w:val="0"/>
          <w:bCs w:val="0"/>
          <w:color w:val="AAAAAA"/>
          <w:sz w:val="20"/>
          <w:szCs w:val="20"/>
        </w:rPr>
        <w:t>[IMAGE PLACEHOLDER — Hazard Identification Flowchart]</w:t>
      </w:r>
    </w:p>
    <w:p w14:paraId="0D34A8E2">
      <w:pPr>
        <w:pStyle w:val="2"/>
        <w:spacing w:before="300" w:after="120"/>
      </w:pPr>
      <w:r>
        <w:rPr>
          <w:rFonts w:ascii="Arial" w:hAnsi="Arial" w:eastAsia="Arial" w:cs="Arial"/>
          <w:b/>
          <w:bCs/>
          <w:color w:val="1A6B72"/>
          <w:sz w:val="36"/>
          <w:szCs w:val="36"/>
        </w:rPr>
        <w:t>Section 3: Emergency Response Procedures</w:t>
      </w:r>
    </w:p>
    <w:p w14:paraId="37BE98C3">
      <w:pPr>
        <w:pStyle w:val="3"/>
        <w:spacing w:before="300" w:after="120"/>
      </w:pPr>
      <w:r>
        <w:rPr>
          <w:rFonts w:ascii="Arial" w:hAnsi="Arial" w:eastAsia="Arial" w:cs="Arial"/>
          <w:b/>
          <w:bCs/>
          <w:color w:val="1A6B72"/>
          <w:sz w:val="28"/>
          <w:szCs w:val="28"/>
        </w:rPr>
        <w:t>3.1 Fire Emergency Protocol</w:t>
      </w:r>
    </w:p>
    <w:p w14:paraId="6FE90CD4">
      <w:pPr>
        <w:spacing w:before="120" w:after="120"/>
      </w:pPr>
      <w:r>
        <w:rPr>
          <w:rFonts w:ascii="Arial" w:hAnsi="Arial" w:eastAsia="Arial" w:cs="Arial"/>
          <w:b w:val="0"/>
          <w:bCs w:val="0"/>
          <w:color w:val="333333"/>
          <w:sz w:val="22"/>
          <w:szCs w:val="22"/>
        </w:rPr>
        <w:t>In the event of a fire, all personnel must follow the RACE procedure outlined below. Memorisation of this protocol is mandatory for all employees within the first week of onboarding.</w:t>
      </w:r>
    </w:p>
    <w:p w14:paraId="72B1CD78">
      <w:pPr>
        <w:pStyle w:val="16"/>
        <w:numPr>
          <w:ilvl w:val="0"/>
          <w:numId w:val="1"/>
        </w:numPr>
        <w:spacing w:before="60" w:after="60"/>
      </w:pPr>
      <w:r>
        <w:rPr>
          <w:rFonts w:ascii="Arial" w:hAnsi="Arial" w:eastAsia="Arial" w:cs="Arial"/>
          <w:sz w:val="22"/>
          <w:szCs w:val="22"/>
        </w:rPr>
        <w:t>Rescue — Assist anyone in immediate danger if it is safe to do so.</w:t>
      </w:r>
    </w:p>
    <w:p w14:paraId="27D48FE9">
      <w:pPr>
        <w:pStyle w:val="16"/>
        <w:numPr>
          <w:ilvl w:val="0"/>
          <w:numId w:val="1"/>
        </w:numPr>
        <w:spacing w:before="60" w:after="60"/>
      </w:pPr>
      <w:r>
        <w:rPr>
          <w:rFonts w:ascii="Arial" w:hAnsi="Arial" w:eastAsia="Arial" w:cs="Arial"/>
          <w:sz w:val="22"/>
          <w:szCs w:val="22"/>
        </w:rPr>
        <w:t>Alarm — Activate the nearest fire alarm pull station immediately.</w:t>
      </w:r>
    </w:p>
    <w:p w14:paraId="2C03C93A">
      <w:pPr>
        <w:pStyle w:val="16"/>
        <w:numPr>
          <w:ilvl w:val="0"/>
          <w:numId w:val="1"/>
        </w:numPr>
        <w:spacing w:before="60" w:after="60"/>
      </w:pPr>
      <w:r>
        <w:rPr>
          <w:rFonts w:ascii="Arial" w:hAnsi="Arial" w:eastAsia="Arial" w:cs="Arial"/>
          <w:sz w:val="22"/>
          <w:szCs w:val="22"/>
        </w:rPr>
        <w:t>Contain — Close all doors and windows to slow the spread of fire.</w:t>
      </w:r>
    </w:p>
    <w:p w14:paraId="4E60DE09">
      <w:pPr>
        <w:pStyle w:val="16"/>
        <w:numPr>
          <w:ilvl w:val="0"/>
          <w:numId w:val="1"/>
        </w:numPr>
        <w:spacing w:before="60" w:after="60"/>
      </w:pPr>
      <w:r>
        <w:rPr>
          <w:rFonts w:ascii="Arial" w:hAnsi="Arial" w:eastAsia="Arial" w:cs="Arial"/>
          <w:sz w:val="22"/>
          <w:szCs w:val="22"/>
        </w:rPr>
        <w:t>Evacuate/Extinguish — Evacuate the area or use a fire extinguisher only if trained to do so.</w:t>
      </w:r>
    </w:p>
    <w:p w14:paraId="48839A03">
      <w:pPr>
        <w:spacing w:before="120" w:after="120"/>
      </w:pPr>
    </w:p>
    <w:p w14:paraId="45C3C58F">
      <w:pPr>
        <w:pStyle w:val="3"/>
        <w:spacing w:before="300" w:after="120"/>
      </w:pPr>
      <w:r>
        <w:rPr>
          <w:rFonts w:ascii="Arial" w:hAnsi="Arial" w:eastAsia="Arial" w:cs="Arial"/>
          <w:b/>
          <w:bCs/>
          <w:color w:val="1A6B72"/>
          <w:sz w:val="28"/>
          <w:szCs w:val="28"/>
        </w:rPr>
        <w:t>3.2 First Aid Response</w:t>
      </w:r>
    </w:p>
    <w:p w14:paraId="5575C1E3">
      <w:pPr>
        <w:spacing w:before="120" w:after="120"/>
      </w:pPr>
      <w:r>
        <w:rPr>
          <w:rFonts w:ascii="Arial" w:hAnsi="Arial" w:eastAsia="Arial" w:cs="Arial"/>
          <w:b/>
          <w:bCs/>
          <w:color w:val="CC0000"/>
          <w:sz w:val="22"/>
          <w:szCs w:val="22"/>
        </w:rPr>
        <w:t>IMPORTANT: ALL EMPLOYEES MUST KNOW THE LOCATION OF THE NEAREST FIRST AID KIT AND AUTOMATED EXTERNAL DEFIBRILLATOR (AED) BEFORE COMMENCING WORK.</w:t>
      </w:r>
    </w:p>
    <w:p w14:paraId="23260C71">
      <w:pPr>
        <w:spacing w:before="120" w:after="120"/>
      </w:pPr>
      <w:r>
        <w:rPr>
          <w:rFonts w:ascii="Arial" w:hAnsi="Arial" w:eastAsia="Arial" w:cs="Arial"/>
          <w:b w:val="0"/>
          <w:bCs w:val="0"/>
          <w:color w:val="333333"/>
          <w:sz w:val="22"/>
          <w:szCs w:val="22"/>
        </w:rPr>
        <w:t>First aid kits must be inspected monthly. The following items are required in every standard workplace first aid kit:</w:t>
      </w:r>
    </w:p>
    <w:p w14:paraId="4F96BAED">
      <w:pPr>
        <w:pStyle w:val="16"/>
        <w:numPr>
          <w:ilvl w:val="0"/>
          <w:numId w:val="2"/>
        </w:numPr>
        <w:spacing w:before="50" w:after="50"/>
      </w:pPr>
      <w:r>
        <w:rPr>
          <w:rFonts w:ascii="Arial" w:hAnsi="Arial" w:eastAsia="Arial" w:cs="Arial"/>
          <w:sz w:val="22"/>
          <w:szCs w:val="22"/>
        </w:rPr>
        <w:t>Adhesive bandages in assorted sizes</w:t>
      </w:r>
    </w:p>
    <w:p w14:paraId="6A679B6B">
      <w:pPr>
        <w:pStyle w:val="16"/>
        <w:numPr>
          <w:ilvl w:val="0"/>
          <w:numId w:val="2"/>
        </w:numPr>
        <w:spacing w:before="50" w:after="50"/>
      </w:pPr>
      <w:r>
        <w:rPr>
          <w:rFonts w:ascii="Arial" w:hAnsi="Arial" w:eastAsia="Arial" w:cs="Arial"/>
          <w:sz w:val="22"/>
          <w:szCs w:val="22"/>
        </w:rPr>
        <w:t>Sterile gauze pads and roller bandages</w:t>
      </w:r>
    </w:p>
    <w:p w14:paraId="2A9139EA">
      <w:pPr>
        <w:pStyle w:val="16"/>
        <w:numPr>
          <w:ilvl w:val="0"/>
          <w:numId w:val="2"/>
        </w:numPr>
        <w:spacing w:before="50" w:after="50"/>
      </w:pPr>
      <w:r>
        <w:rPr>
          <w:rFonts w:ascii="Arial" w:hAnsi="Arial" w:eastAsia="Arial" w:cs="Arial"/>
          <w:sz w:val="22"/>
          <w:szCs w:val="22"/>
        </w:rPr>
        <w:t xml:space="preserve">Antiseptic wipes and hand </w:t>
      </w:r>
      <w:r>
        <w:rPr>
          <w:rFonts w:cs="Arial"/>
          <w:sz w:val="22"/>
          <w:szCs w:val="22"/>
          <w:lang w:val="en-US"/>
        </w:rPr>
        <w:t>sanitiz</w:t>
      </w:r>
      <w:r>
        <w:rPr>
          <w:rFonts w:hint="default" w:cs="Arial"/>
          <w:sz w:val="22"/>
          <w:szCs w:val="22"/>
          <w:lang w:val="en-US"/>
        </w:rPr>
        <w:t>er</w:t>
      </w:r>
    </w:p>
    <w:p w14:paraId="7D03B257">
      <w:pPr>
        <w:pStyle w:val="16"/>
        <w:numPr>
          <w:ilvl w:val="0"/>
          <w:numId w:val="2"/>
        </w:numPr>
        <w:spacing w:before="50" w:after="50"/>
      </w:pPr>
      <w:r>
        <w:rPr>
          <w:rFonts w:ascii="Arial" w:hAnsi="Arial" w:eastAsia="Arial" w:cs="Arial"/>
          <w:sz w:val="22"/>
          <w:szCs w:val="22"/>
        </w:rPr>
        <w:t>Disposable gloves (minimum 2 pairs, non-latex)</w:t>
      </w:r>
    </w:p>
    <w:p w14:paraId="2CD7042F">
      <w:pPr>
        <w:pStyle w:val="16"/>
        <w:numPr>
          <w:ilvl w:val="0"/>
          <w:numId w:val="2"/>
        </w:numPr>
        <w:spacing w:before="50" w:after="50"/>
      </w:pPr>
      <w:r>
        <w:rPr>
          <w:rFonts w:ascii="Arial" w:hAnsi="Arial" w:eastAsia="Arial" w:cs="Arial"/>
          <w:sz w:val="22"/>
          <w:szCs w:val="22"/>
        </w:rPr>
        <w:t>CPR face shield or pocket mask</w:t>
      </w:r>
    </w:p>
    <w:p w14:paraId="4504AD36">
      <w:pPr>
        <w:pStyle w:val="16"/>
        <w:numPr>
          <w:ilvl w:val="0"/>
          <w:numId w:val="2"/>
        </w:numPr>
        <w:spacing w:before="50" w:after="50"/>
      </w:pPr>
      <w:r>
        <w:rPr>
          <w:rFonts w:ascii="Arial" w:hAnsi="Arial" w:eastAsia="Arial" w:cs="Arial"/>
          <w:sz w:val="22"/>
          <w:szCs w:val="22"/>
        </w:rPr>
        <w:t>Emergency blanket</w:t>
      </w:r>
    </w:p>
    <w:p w14:paraId="732FC682">
      <w:pPr>
        <w:pStyle w:val="16"/>
        <w:numPr>
          <w:ilvl w:val="0"/>
          <w:numId w:val="2"/>
        </w:numPr>
        <w:spacing w:before="50" w:after="50"/>
      </w:pPr>
      <w:r>
        <w:rPr>
          <w:rFonts w:ascii="Arial" w:hAnsi="Arial" w:eastAsia="Arial" w:cs="Arial"/>
          <w:sz w:val="22"/>
          <w:szCs w:val="22"/>
        </w:rPr>
        <w:t>First aid instruction manual</w:t>
      </w:r>
    </w:p>
    <w:p w14:paraId="7637B738">
      <w:pPr>
        <w:spacing w:before="120" w:after="120"/>
        <w:rPr>
          <w:rFonts w:hint="default"/>
          <w:lang w:val="en-US"/>
        </w:rPr>
      </w:pPr>
      <w:r>
        <w:rPr>
          <w:rFonts w:hint="default"/>
          <w:lang w:val="en-US"/>
        </w:rPr>
        <w:t xml:space="preserve">                                                               </w:t>
      </w:r>
    </w:p>
    <w:p w14:paraId="08AF4646">
      <w:pPr>
        <w:spacing w:before="120" w:after="120"/>
        <w:rPr>
          <w:rFonts w:hint="default"/>
          <w:lang w:val="en-US"/>
        </w:rPr>
      </w:pPr>
      <w:r>
        <w:rPr>
          <w:rFonts w:hint="default"/>
          <w:lang w:val="en-US"/>
        </w:rPr>
        <w:t xml:space="preserve">                                                                                                                                                              3</w:t>
      </w:r>
    </w:p>
    <w:p w14:paraId="6F642C7B">
      <w:pPr>
        <w:pStyle w:val="2"/>
        <w:spacing w:before="300" w:after="120"/>
      </w:pPr>
      <w:r>
        <w:rPr>
          <w:rFonts w:ascii="Arial" w:hAnsi="Arial" w:eastAsia="Arial" w:cs="Arial"/>
          <w:b/>
          <w:bCs/>
          <w:color w:val="1A6B72"/>
          <w:sz w:val="36"/>
          <w:szCs w:val="36"/>
        </w:rPr>
        <w:t>Section 4: Documentation &amp; Incident Reporting</w:t>
      </w:r>
    </w:p>
    <w:p w14:paraId="40EE7D4D">
      <w:pPr>
        <w:pStyle w:val="3"/>
        <w:spacing w:before="300" w:after="120"/>
      </w:pPr>
      <w:r>
        <w:rPr>
          <w:rFonts w:ascii="Arial" w:hAnsi="Arial" w:eastAsia="Arial" w:cs="Arial"/>
          <w:b/>
          <w:bCs/>
          <w:color w:val="1A6B72"/>
          <w:sz w:val="28"/>
          <w:szCs w:val="28"/>
        </w:rPr>
        <w:t>4.1 Incident Reporting Requirements</w:t>
      </w:r>
    </w:p>
    <w:p w14:paraId="36CD0D7A">
      <w:pPr>
        <w:spacing w:before="120" w:after="120"/>
      </w:pPr>
      <w:r>
        <w:rPr>
          <w:rFonts w:ascii="Arial" w:hAnsi="Arial" w:eastAsia="Arial" w:cs="Arial"/>
          <w:b w:val="0"/>
          <w:bCs w:val="0"/>
          <w:color w:val="333333"/>
          <w:sz w:val="22"/>
          <w:szCs w:val="22"/>
        </w:rPr>
        <w:t>All workplace incidents — including near-misses — must be reported within 24 hours using the official Incident Report Form (IRF-01). Delayed reporting can result in disciplinary action and may compromise insurance claims.</w:t>
      </w:r>
    </w:p>
    <w:p w14:paraId="7A688714">
      <w:pPr>
        <w:pStyle w:val="3"/>
        <w:spacing w:before="300" w:after="120"/>
      </w:pPr>
      <w:r>
        <w:rPr>
          <w:rFonts w:ascii="Arial" w:hAnsi="Arial" w:eastAsia="Arial" w:cs="Arial"/>
          <w:b/>
          <w:bCs/>
          <w:color w:val="1A6B72"/>
          <w:sz w:val="28"/>
          <w:szCs w:val="28"/>
        </w:rPr>
        <w:t>4.2 Record Retention Policy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7ACF0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1A6B72"/>
            <w:tcMar>
              <w:top w:w="80" w:type="dxa"/>
              <w:left w:w="120" w:type="dxa"/>
              <w:bottom w:w="80" w:type="dxa"/>
              <w:right w:w="120" w:type="dxa"/>
            </w:tcMar>
          </w:tcPr>
          <w:p w14:paraId="2A674463">
            <w:r>
              <w:rPr>
                <w:rFonts w:ascii="Arial" w:hAnsi="Arial" w:eastAsia="Arial" w:cs="Arial"/>
                <w:b/>
                <w:bCs/>
                <w:color w:val="FFFFFF"/>
                <w:sz w:val="20"/>
                <w:szCs w:val="20"/>
              </w:rPr>
              <w:t>Document Type</w:t>
            </w:r>
          </w:p>
        </w:tc>
        <w:tc>
          <w:tcPr>
            <w:tcW w:w="3120" w:type="dxa"/>
            <w:tcBorders>
              <w:top w:val="single" w:color="CCCCCC" w:sz="0" w:space="0"/>
              <w:left w:val="single" w:color="CCCCCC" w:sz="0" w:space="0"/>
              <w:bottom w:val="single" w:color="CCCCCC" w:sz="0" w:space="0"/>
              <w:right w:val="single" w:color="CCCCCC" w:sz="0" w:space="0"/>
            </w:tcBorders>
            <w:shd w:val="clear" w:color="auto" w:fill="1A6B72"/>
            <w:tcMar>
              <w:top w:w="80" w:type="dxa"/>
              <w:left w:w="120" w:type="dxa"/>
              <w:bottom w:w="80" w:type="dxa"/>
              <w:right w:w="120" w:type="dxa"/>
            </w:tcMar>
          </w:tcPr>
          <w:p w14:paraId="2DB0C490">
            <w:r>
              <w:rPr>
                <w:rFonts w:ascii="Arial" w:hAnsi="Arial" w:eastAsia="Arial" w:cs="Arial"/>
                <w:b/>
                <w:bCs/>
                <w:color w:val="FFFFFF"/>
                <w:sz w:val="20"/>
                <w:szCs w:val="20"/>
              </w:rPr>
              <w:t>Retention Period</w:t>
            </w:r>
          </w:p>
        </w:tc>
        <w:tc>
          <w:tcPr>
            <w:tcW w:w="3120" w:type="dxa"/>
            <w:tcBorders>
              <w:top w:val="single" w:color="CCCCCC" w:sz="0" w:space="0"/>
              <w:left w:val="single" w:color="CCCCCC" w:sz="0" w:space="0"/>
              <w:bottom w:val="single" w:color="CCCCCC" w:sz="0" w:space="0"/>
              <w:right w:val="single" w:color="CCCCCC" w:sz="0" w:space="0"/>
            </w:tcBorders>
            <w:shd w:val="clear" w:color="auto" w:fill="1A6B72"/>
            <w:tcMar>
              <w:top w:w="80" w:type="dxa"/>
              <w:left w:w="120" w:type="dxa"/>
              <w:bottom w:w="80" w:type="dxa"/>
              <w:right w:w="120" w:type="dxa"/>
            </w:tcMar>
          </w:tcPr>
          <w:p w14:paraId="6588CF1C">
            <w:r>
              <w:rPr>
                <w:rFonts w:ascii="Arial" w:hAnsi="Arial" w:eastAsia="Arial" w:cs="Arial"/>
                <w:b/>
                <w:bCs/>
                <w:color w:val="FFFFFF"/>
                <w:sz w:val="20"/>
                <w:szCs w:val="20"/>
              </w:rPr>
              <w:t>Storage Location</w:t>
            </w:r>
          </w:p>
        </w:tc>
      </w:tr>
      <w:tr w14:paraId="1861D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72E065">
            <w:r>
              <w:rPr>
                <w:rFonts w:ascii="Arial" w:hAnsi="Arial" w:eastAsia="Arial" w:cs="Arial"/>
                <w:b w:val="0"/>
                <w:bCs w:val="0"/>
                <w:color w:val="000000"/>
                <w:sz w:val="20"/>
                <w:szCs w:val="20"/>
              </w:rPr>
              <w:t>Incident Reports</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E60F47">
            <w:r>
              <w:rPr>
                <w:rFonts w:ascii="Arial" w:hAnsi="Arial" w:eastAsia="Arial" w:cs="Arial"/>
                <w:b w:val="0"/>
                <w:bCs w:val="0"/>
                <w:color w:val="000000"/>
                <w:sz w:val="20"/>
                <w:szCs w:val="20"/>
              </w:rPr>
              <w:t>7 Years</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ED906D">
            <w:r>
              <w:rPr>
                <w:rFonts w:ascii="Arial" w:hAnsi="Arial" w:eastAsia="Arial" w:cs="Arial"/>
                <w:b w:val="0"/>
                <w:bCs w:val="0"/>
                <w:color w:val="000000"/>
                <w:sz w:val="20"/>
                <w:szCs w:val="20"/>
              </w:rPr>
              <w:t>HR Digital Archive</w:t>
            </w:r>
          </w:p>
        </w:tc>
      </w:tr>
      <w:tr w14:paraId="1E637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2F93409">
            <w:r>
              <w:rPr>
                <w:rFonts w:ascii="Arial" w:hAnsi="Arial" w:eastAsia="Arial" w:cs="Arial"/>
                <w:b w:val="0"/>
                <w:bCs w:val="0"/>
                <w:color w:val="000000"/>
                <w:sz w:val="20"/>
                <w:szCs w:val="20"/>
              </w:rPr>
              <w:t>Safety Training Records</w:t>
            </w:r>
          </w:p>
        </w:tc>
        <w:tc>
          <w:tcPr>
            <w:tcW w:w="312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C874A46">
            <w:r>
              <w:rPr>
                <w:rFonts w:ascii="Arial" w:hAnsi="Arial" w:eastAsia="Arial" w:cs="Arial"/>
                <w:b w:val="0"/>
                <w:bCs w:val="0"/>
                <w:color w:val="000000"/>
                <w:sz w:val="20"/>
                <w:szCs w:val="20"/>
              </w:rPr>
              <w:t>Duration of Employment + 5 Yrs</w:t>
            </w:r>
          </w:p>
        </w:tc>
        <w:tc>
          <w:tcPr>
            <w:tcW w:w="312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00F7A03">
            <w:r>
              <w:rPr>
                <w:rFonts w:ascii="Arial" w:hAnsi="Arial" w:eastAsia="Arial" w:cs="Arial"/>
                <w:b w:val="0"/>
                <w:bCs w:val="0"/>
                <w:color w:val="000000"/>
                <w:sz w:val="20"/>
                <w:szCs w:val="20"/>
              </w:rPr>
              <w:t>LMS &amp; HR System</w:t>
            </w:r>
          </w:p>
        </w:tc>
      </w:tr>
      <w:tr w14:paraId="648BD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805520">
            <w:r>
              <w:rPr>
                <w:rFonts w:ascii="Arial" w:hAnsi="Arial" w:eastAsia="Arial" w:cs="Arial"/>
                <w:b w:val="0"/>
                <w:bCs w:val="0"/>
                <w:color w:val="000000"/>
                <w:sz w:val="20"/>
                <w:szCs w:val="20"/>
              </w:rPr>
              <w:t>Risk Assessments</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022EAC">
            <w:r>
              <w:rPr>
                <w:rFonts w:ascii="Arial" w:hAnsi="Arial" w:eastAsia="Arial" w:cs="Arial"/>
                <w:b w:val="0"/>
                <w:bCs w:val="0"/>
                <w:color w:val="000000"/>
                <w:sz w:val="20"/>
                <w:szCs w:val="20"/>
              </w:rPr>
              <w:t>5 Years</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3A10097">
            <w:r>
              <w:rPr>
                <w:rFonts w:ascii="Arial" w:hAnsi="Arial" w:eastAsia="Arial" w:cs="Arial"/>
                <w:b w:val="0"/>
                <w:bCs w:val="0"/>
                <w:color w:val="000000"/>
                <w:sz w:val="20"/>
                <w:szCs w:val="20"/>
              </w:rPr>
              <w:t>Safety Management Platform</w:t>
            </w:r>
          </w:p>
        </w:tc>
      </w:tr>
      <w:tr w14:paraId="0C3B5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3BE9BB2">
            <w:r>
              <w:rPr>
                <w:rFonts w:ascii="Arial" w:hAnsi="Arial" w:eastAsia="Arial" w:cs="Arial"/>
                <w:b w:val="0"/>
                <w:bCs w:val="0"/>
                <w:color w:val="000000"/>
                <w:sz w:val="20"/>
                <w:szCs w:val="20"/>
              </w:rPr>
              <w:t>Equipment Inspection Logs</w:t>
            </w:r>
          </w:p>
        </w:tc>
        <w:tc>
          <w:tcPr>
            <w:tcW w:w="312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C1864B6">
            <w:r>
              <w:rPr>
                <w:rFonts w:ascii="Arial" w:hAnsi="Arial" w:eastAsia="Arial" w:cs="Arial"/>
                <w:b w:val="0"/>
                <w:bCs w:val="0"/>
                <w:color w:val="000000"/>
                <w:sz w:val="20"/>
                <w:szCs w:val="20"/>
              </w:rPr>
              <w:t>Life of Equipment + 3 Yrs</w:t>
            </w:r>
          </w:p>
        </w:tc>
        <w:tc>
          <w:tcPr>
            <w:tcW w:w="312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626C163">
            <w:r>
              <w:rPr>
                <w:rFonts w:ascii="Arial" w:hAnsi="Arial" w:eastAsia="Arial" w:cs="Arial"/>
                <w:b w:val="0"/>
                <w:bCs w:val="0"/>
                <w:color w:val="000000"/>
                <w:sz w:val="20"/>
                <w:szCs w:val="20"/>
              </w:rPr>
              <w:t>Maintenance Department</w:t>
            </w:r>
          </w:p>
        </w:tc>
      </w:tr>
    </w:tbl>
    <w:p w14:paraId="3BB540E2">
      <w:pPr>
        <w:spacing w:before="120" w:after="120"/>
      </w:pPr>
    </w:p>
    <w:p w14:paraId="3CF82058">
      <w:pPr>
        <w:pStyle w:val="2"/>
        <w:spacing w:before="300" w:after="120"/>
      </w:pPr>
      <w:r>
        <w:rPr>
          <w:rFonts w:ascii="Arial" w:hAnsi="Arial" w:eastAsia="Arial" w:cs="Arial"/>
          <w:b/>
          <w:bCs/>
          <w:color w:val="1A6B72"/>
          <w:sz w:val="36"/>
          <w:szCs w:val="36"/>
        </w:rPr>
        <w:t>Section 5: Knowledge Check</w:t>
      </w:r>
    </w:p>
    <w:p w14:paraId="51FFB697">
      <w:pPr>
        <w:spacing w:before="120" w:after="120"/>
      </w:pPr>
      <w:r>
        <w:rPr>
          <w:rFonts w:ascii="Arial" w:hAnsi="Arial" w:eastAsia="Arial" w:cs="Arial"/>
          <w:b w:val="0"/>
          <w:bCs w:val="0"/>
          <w:color w:val="333333"/>
          <w:sz w:val="22"/>
          <w:szCs w:val="22"/>
        </w:rPr>
        <w:t>Answer the following questions to confirm your understanding of the module content. A minimum score of 80% is required to receive your completion certificate.</w:t>
      </w:r>
    </w:p>
    <w:p w14:paraId="337302BB">
      <w:pPr>
        <w:pStyle w:val="4"/>
        <w:spacing w:before="300" w:after="120"/>
      </w:pPr>
      <w:r>
        <w:rPr>
          <w:rFonts w:ascii="Arial" w:hAnsi="Arial" w:eastAsia="Arial" w:cs="Arial"/>
          <w:b/>
          <w:bCs/>
          <w:color w:val="1A6B72"/>
          <w:sz w:val="24"/>
          <w:szCs w:val="24"/>
        </w:rPr>
        <w:t>Question 1</w:t>
      </w:r>
    </w:p>
    <w:p w14:paraId="2F1E7EE1">
      <w:pPr>
        <w:spacing w:before="120" w:after="120"/>
      </w:pPr>
      <w:r>
        <w:rPr>
          <w:rFonts w:ascii="Arial" w:hAnsi="Arial" w:eastAsia="Arial" w:cs="Arial"/>
          <w:b w:val="0"/>
          <w:bCs w:val="0"/>
          <w:color w:val="333333"/>
          <w:sz w:val="22"/>
          <w:szCs w:val="22"/>
        </w:rPr>
        <w:t>Which of the following is classified as a psychosocial hazard?</w:t>
      </w:r>
    </w:p>
    <w:p w14:paraId="094C0516">
      <w:pPr>
        <w:pStyle w:val="16"/>
        <w:numPr>
          <w:ilvl w:val="0"/>
          <w:numId w:val="2"/>
        </w:numPr>
        <w:spacing w:before="40" w:after="40"/>
      </w:pPr>
      <w:r>
        <w:rPr>
          <w:rFonts w:ascii="Arial" w:hAnsi="Arial" w:eastAsia="Arial" w:cs="Arial"/>
          <w:sz w:val="22"/>
          <w:szCs w:val="22"/>
        </w:rPr>
        <w:t>A. Exposure to asbestos</w:t>
      </w:r>
    </w:p>
    <w:p w14:paraId="2BBA84BB">
      <w:pPr>
        <w:pStyle w:val="16"/>
        <w:numPr>
          <w:ilvl w:val="0"/>
          <w:numId w:val="2"/>
        </w:numPr>
        <w:spacing w:before="40" w:after="40"/>
      </w:pPr>
      <w:r>
        <w:rPr>
          <w:rFonts w:ascii="Arial" w:hAnsi="Arial" w:eastAsia="Arial" w:cs="Arial"/>
          <w:sz w:val="22"/>
          <w:szCs w:val="22"/>
        </w:rPr>
        <w:t>B. Repetitive wrist movements</w:t>
      </w:r>
    </w:p>
    <w:p w14:paraId="4F1DAE12">
      <w:pPr>
        <w:pStyle w:val="16"/>
        <w:numPr>
          <w:ilvl w:val="0"/>
          <w:numId w:val="2"/>
        </w:numPr>
        <w:spacing w:before="40" w:after="40"/>
      </w:pPr>
      <w:r>
        <w:rPr>
          <w:rFonts w:ascii="Arial" w:hAnsi="Arial" w:eastAsia="Arial" w:cs="Arial"/>
          <w:sz w:val="22"/>
          <w:szCs w:val="22"/>
        </w:rPr>
        <w:t>C. Workplace bullying and harassment</w:t>
      </w:r>
    </w:p>
    <w:p w14:paraId="5F014491">
      <w:pPr>
        <w:pStyle w:val="16"/>
        <w:numPr>
          <w:ilvl w:val="0"/>
          <w:numId w:val="2"/>
        </w:numPr>
        <w:spacing w:before="40" w:after="40"/>
      </w:pPr>
      <w:r>
        <w:rPr>
          <w:rFonts w:ascii="Arial" w:hAnsi="Arial" w:eastAsia="Arial" w:cs="Arial"/>
          <w:sz w:val="22"/>
          <w:szCs w:val="22"/>
        </w:rPr>
        <w:t>D. Slippery floor surfaces</w:t>
      </w:r>
    </w:p>
    <w:p w14:paraId="78149CFD">
      <w:pPr>
        <w:pStyle w:val="4"/>
        <w:spacing w:before="300" w:after="120"/>
      </w:pPr>
      <w:r>
        <w:rPr>
          <w:rFonts w:ascii="Arial" w:hAnsi="Arial" w:eastAsia="Arial" w:cs="Arial"/>
          <w:b/>
          <w:bCs/>
          <w:color w:val="1A6B72"/>
          <w:sz w:val="24"/>
          <w:szCs w:val="24"/>
        </w:rPr>
        <w:t>Question 2</w:t>
      </w:r>
    </w:p>
    <w:p w14:paraId="5CD6D165">
      <w:pPr>
        <w:spacing w:before="120" w:after="120"/>
      </w:pPr>
      <w:r>
        <w:rPr>
          <w:rFonts w:ascii="Arial" w:hAnsi="Arial" w:eastAsia="Arial" w:cs="Arial"/>
          <w:b w:val="0"/>
          <w:bCs w:val="0"/>
          <w:color w:val="333333"/>
          <w:sz w:val="22"/>
          <w:szCs w:val="22"/>
        </w:rPr>
        <w:t>What does the 'A' stand for in the RACE fire emergency protocol?</w:t>
      </w:r>
    </w:p>
    <w:p w14:paraId="5A3DD19F">
      <w:pPr>
        <w:pStyle w:val="16"/>
        <w:numPr>
          <w:ilvl w:val="0"/>
          <w:numId w:val="2"/>
        </w:numPr>
        <w:spacing w:before="40" w:after="40"/>
      </w:pPr>
      <w:r>
        <w:rPr>
          <w:rFonts w:ascii="Arial" w:hAnsi="Arial" w:eastAsia="Arial" w:cs="Arial"/>
          <w:sz w:val="22"/>
          <w:szCs w:val="22"/>
        </w:rPr>
        <w:t>A. Assess</w:t>
      </w:r>
    </w:p>
    <w:p w14:paraId="0323AFD5">
      <w:pPr>
        <w:pStyle w:val="16"/>
        <w:numPr>
          <w:ilvl w:val="0"/>
          <w:numId w:val="2"/>
        </w:numPr>
        <w:spacing w:before="40" w:after="40"/>
      </w:pPr>
      <w:r>
        <w:rPr>
          <w:rFonts w:ascii="Arial" w:hAnsi="Arial" w:eastAsia="Arial" w:cs="Arial"/>
          <w:sz w:val="22"/>
          <w:szCs w:val="22"/>
        </w:rPr>
        <w:t>B. Alarm</w:t>
      </w:r>
    </w:p>
    <w:p w14:paraId="13D259CE">
      <w:pPr>
        <w:pStyle w:val="16"/>
        <w:numPr>
          <w:ilvl w:val="0"/>
          <w:numId w:val="2"/>
        </w:numPr>
        <w:spacing w:before="40" w:after="40"/>
      </w:pPr>
      <w:r>
        <w:rPr>
          <w:rFonts w:ascii="Arial" w:hAnsi="Arial" w:eastAsia="Arial" w:cs="Arial"/>
          <w:sz w:val="22"/>
          <w:szCs w:val="22"/>
        </w:rPr>
        <w:t>C. Alert</w:t>
      </w:r>
    </w:p>
    <w:p w14:paraId="09672BEA">
      <w:pPr>
        <w:pStyle w:val="16"/>
        <w:numPr>
          <w:ilvl w:val="0"/>
          <w:numId w:val="2"/>
        </w:numPr>
        <w:spacing w:before="40" w:after="40"/>
      </w:pPr>
      <w:r>
        <w:rPr>
          <w:rFonts w:ascii="Arial" w:hAnsi="Arial" w:eastAsia="Arial" w:cs="Arial"/>
          <w:sz w:val="22"/>
          <w:szCs w:val="22"/>
        </w:rPr>
        <w:t>D. Action</w:t>
      </w:r>
    </w:p>
    <w:p w14:paraId="5031176A">
      <w:pPr>
        <w:pStyle w:val="4"/>
        <w:spacing w:before="300" w:after="120"/>
      </w:pPr>
      <w:r>
        <w:rPr>
          <w:rFonts w:ascii="Arial" w:hAnsi="Arial" w:eastAsia="Arial" w:cs="Arial"/>
          <w:b/>
          <w:bCs/>
          <w:color w:val="1A6B72"/>
          <w:sz w:val="24"/>
          <w:szCs w:val="24"/>
        </w:rPr>
        <w:t>Question 3</w:t>
      </w:r>
    </w:p>
    <w:p w14:paraId="794E5B7C">
      <w:pPr>
        <w:spacing w:before="120" w:after="120"/>
      </w:pPr>
      <w:r>
        <w:rPr>
          <w:rFonts w:ascii="Arial" w:hAnsi="Arial" w:eastAsia="Arial" w:cs="Arial"/>
          <w:b w:val="0"/>
          <w:bCs w:val="0"/>
          <w:color w:val="333333"/>
          <w:sz w:val="22"/>
          <w:szCs w:val="22"/>
        </w:rPr>
        <w:t>Within how many hours must a workplace incident be reported?</w:t>
      </w:r>
    </w:p>
    <w:p w14:paraId="0733310A">
      <w:pPr>
        <w:spacing w:before="120" w:after="200"/>
      </w:pPr>
      <w:r>
        <w:rPr>
          <w:rFonts w:ascii="Arial" w:hAnsi="Arial" w:eastAsia="Arial" w:cs="Arial"/>
          <w:b/>
          <w:bCs/>
          <w:color w:val="00AA00"/>
          <w:sz w:val="20"/>
          <w:szCs w:val="20"/>
        </w:rPr>
        <w:t>Answer Key: Q1-C  |  Q2-B  |  Q3-24 hours</w:t>
      </w:r>
    </w:p>
    <w:p w14:paraId="46D41FAF">
      <w:pPr>
        <w:spacing w:before="120" w:after="120"/>
      </w:pPr>
      <w:r>
        <w:rPr>
          <w:rFonts w:ascii="Arial" w:hAnsi="Arial" w:eastAsia="Arial" w:cs="Arial"/>
          <w:b w:val="0"/>
          <w:bCs w:val="0"/>
          <w:color w:val="888888"/>
          <w:sz w:val="20"/>
          <w:szCs w:val="20"/>
        </w:rPr>
        <w:t>(Green = Correct answers — presented in colour only, no text indicator)</w:t>
      </w:r>
    </w:p>
    <w:p w14:paraId="4C9051FD">
      <w:pPr>
        <w:spacing w:before="120" w:after="120"/>
      </w:pPr>
    </w:p>
    <w:p w14:paraId="5EAACFF3">
      <w:pPr>
        <w:spacing w:before="240" w:after="240"/>
        <w:ind w:left="9605" w:hanging="9605" w:hangingChars="4000"/>
        <w:rPr>
          <w:rFonts w:hint="default"/>
          <w:lang w:val="en-US"/>
        </w:rPr>
      </w:pPr>
      <w:r>
        <w:rPr>
          <w:rFonts w:ascii="Arial" w:hAnsi="Arial" w:eastAsia="Arial" w:cs="Arial"/>
          <w:b/>
          <w:bCs/>
          <w:color w:val="1A6B72"/>
          <w:sz w:val="24"/>
          <w:szCs w:val="24"/>
        </w:rPr>
        <w:t>— END OF MODULE —</w:t>
      </w:r>
      <w:r>
        <w:rPr>
          <w:rFonts w:ascii="Arial" w:hAnsi="Arial" w:eastAsia="Arial" w:cs="Arial"/>
          <w:b/>
          <w:bCs/>
          <w:color w:val="1A6B72"/>
          <w:sz w:val="24"/>
          <w:szCs w:val="24"/>
        </w:rPr>
        <w:br w:type="textWrapping"/>
      </w:r>
      <w:r>
        <w:rPr>
          <w:rFonts w:hint="default" w:cs="Arial"/>
          <w:b/>
          <w:bCs/>
          <w:color w:val="1A6B72"/>
          <w:sz w:val="24"/>
          <w:szCs w:val="24"/>
          <w:lang w:val="en-US"/>
        </w:rPr>
        <w:t>4</w:t>
      </w:r>
    </w:p>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74A3CA">
    <w:pPr>
      <w:pBdr>
        <w:top w:val="single" w:color="D9D9D9" w:sz="4" w:space="1"/>
      </w:pBdr>
    </w:pPr>
    <w:r>
      <w:rPr>
        <w:rFonts w:ascii="Arial" w:hAnsi="Arial" w:eastAsia="Arial" w:cs="Arial"/>
        <w:color w:val="888888"/>
        <w:sz w:val="18"/>
        <w:szCs w:val="18"/>
      </w:rPr>
      <w:t>Workplace Safety Fundamentals  •  Page   •  Confidential — Internal Use Only</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696FE1">
    <w:pPr>
      <w:pBdr>
        <w:bottom w:val="single" w:color="1A6B72" w:sz="6" w:space="1"/>
      </w:pBdr>
    </w:pPr>
    <w:r>
      <w:rPr>
        <w:rFonts w:ascii="Arial" w:hAnsi="Arial" w:eastAsia="Arial" w:cs="Arial"/>
        <w:color w:val="666666"/>
        <w:sz w:val="18"/>
        <w:szCs w:val="18"/>
      </w:rPr>
      <w:t xml:space="preserve">eLearning Module: Workplace Safety Fundamentals  |  </w:t>
    </w:r>
    <w:r>
      <w:rPr>
        <w:rFonts w:ascii="Arial" w:hAnsi="Arial" w:eastAsia="Arial" w:cs="Arial"/>
        <w:b/>
        <w:bCs/>
        <w:color w:val="CC0000"/>
        <w:sz w:val="18"/>
        <w:szCs w:val="18"/>
      </w:rPr>
      <w:t xml:space="preserve">  [DRAFT — For QA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decimal"/>
      <w:lvlText w:val="%1."/>
      <w:lvlJc w:val="left"/>
      <w:pPr>
        <w:ind w:left="720" w:hanging="360"/>
      </w:pPr>
      <w:rPr>
        <w:rFonts w:ascii="Arial" w:hAnsi="Arial" w:eastAsia="Arial" w:cs="Arial"/>
        <w:sz w:val="22"/>
        <w:szCs w:val="22"/>
      </w:rPr>
    </w:lvl>
  </w:abstractNum>
  <w:abstractNum w:abstractNumId="1">
    <w:nsid w:val="25B654F3"/>
    <w:multiLevelType w:val="singleLevel"/>
    <w:tmpl w:val="25B654F3"/>
    <w:lvl w:ilvl="0" w:tentative="0">
      <w:start w:val="1"/>
      <w:numFmt w:val="bullet"/>
      <w:lvlText w:val="•"/>
      <w:lvlJc w:val="left"/>
      <w:pPr>
        <w:ind w:left="720" w:hanging="360"/>
      </w:pPr>
      <w:rPr>
        <w:rFonts w:ascii="Arial" w:hAnsi="Arial" w:eastAsia="Arial" w:cs="Arial"/>
        <w:sz w:val="22"/>
        <w:szCs w:val="22"/>
      </w:r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2EDF1FF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180"/>
      <w:outlineLvl w:val="0"/>
    </w:pPr>
    <w:rPr>
      <w:rFonts w:ascii="Arial" w:hAnsi="Arial" w:eastAsia="Arial" w:cs="Arial"/>
      <w:b/>
      <w:bCs/>
      <w:color w:val="1A6B72"/>
      <w:sz w:val="36"/>
      <w:szCs w:val="36"/>
    </w:rPr>
  </w:style>
  <w:style w:type="paragraph" w:styleId="3">
    <w:name w:val="heading 2"/>
    <w:next w:val="1"/>
    <w:qFormat/>
    <w:uiPriority w:val="0"/>
    <w:pPr>
      <w:spacing w:before="240" w:after="120"/>
      <w:outlineLvl w:val="1"/>
    </w:pPr>
    <w:rPr>
      <w:rFonts w:ascii="Arial" w:hAnsi="Arial" w:eastAsia="Arial" w:cs="Arial"/>
      <w:b/>
      <w:bCs/>
      <w:color w:val="1A6B72"/>
      <w:sz w:val="28"/>
      <w:szCs w:val="28"/>
    </w:rPr>
  </w:style>
  <w:style w:type="paragraph" w:styleId="4">
    <w:name w:val="heading 3"/>
    <w:next w:val="1"/>
    <w:qFormat/>
    <w:uiPriority w:val="0"/>
    <w:pPr>
      <w:spacing w:before="180" w:after="100"/>
      <w:outlineLvl w:val="2"/>
    </w:pPr>
    <w:rPr>
      <w:rFonts w:ascii="Arial" w:hAnsi="Arial" w:eastAsia="Arial" w:cs="Arial"/>
      <w:b/>
      <w:bCs/>
      <w:color w:val="555555"/>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TotalTime>15</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Bhushan Singh</dc:creator>
  <cp:lastModifiedBy>login</cp:lastModifiedBy>
  <cp:revision>1</cp:revision>
  <dcterms:created xsi:type="dcterms:W3CDTF">2026-05-12T11:23:00Z</dcterms:created>
  <dcterms:modified xsi:type="dcterms:W3CDTF">2026-05-12T12:34:11Z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1033-12.2.0.23202</vt:lpwstr>
  </property>
  <property fmtid="{D5CDD505-2E9C-101B-9397-08002B2CF9AE}" pid="3" name="ICV">
    <vt:lpwstr>66F3AF50C21449CE8EEEDB660472FF60_12</vt:lpwstr>
  </property>
</Properties>
</file>