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MULTI-TIER ATTENDANCE HUB</w:t>
        <w:br/>
      </w:r>
    </w:p>
    <w:p>
      <w:pPr>
        <w:jc w:val="center"/>
      </w:pPr>
      <w:r>
        <w:br/>
        <w:t>A COMPREHENSIVE ENTERPRISE SYSTEM ARCHITECTURE REPORT</w:t>
        <w:br/>
        <w:t>(WITH NATIVE UML DIAGRAMS)</w:t>
        <w:br/>
        <w:br/>
        <w:br/>
        <w:t>SUBMITTED IN PARTIAL FULFILLMENT OF THE REQUIREMENTS</w:t>
        <w:br/>
        <w:br/>
        <w:br/>
        <w:br/>
        <w:br/>
      </w:r>
    </w:p>
    <w:p>
      <w:r>
        <w:br w:type="page"/>
      </w:r>
    </w:p>
    <w:p>
      <w:pPr>
        <w:pStyle w:val="Heading1"/>
      </w:pPr>
      <w:r>
        <w:t>Table of Contents</w:t>
      </w:r>
    </w:p>
    <w:p>
      <w:pPr>
        <w:jc w:val="both"/>
      </w:pPr>
      <w:r>
        <w:t>1. Module 1: Problem Identification &amp; System Design</w:t>
      </w:r>
    </w:p>
    <w:p>
      <w:pPr>
        <w:jc w:val="both"/>
      </w:pPr>
      <w:r>
        <w:t>2. Module 2: Implementation &amp; Deployment</w:t>
      </w:r>
    </w:p>
    <w:p>
      <w:pPr>
        <w:jc w:val="both"/>
      </w:pPr>
      <w:r>
        <w:t>(Update Table of Contents automatically in Word)</w:t>
      </w:r>
    </w:p>
    <w:p>
      <w:r>
        <w:br w:type="page"/>
      </w:r>
    </w:p>
    <w:p>
      <w:pPr>
        <w:pStyle w:val="Heading1"/>
      </w:pPr>
      <w:r>
        <w:t>Module 1: Problem Identification, Requirement Engineering &amp; System Design Phase</w:t>
      </w:r>
    </w:p>
    <w:p>
      <w:pPr>
        <w:pStyle w:val="Heading2"/>
      </w:pPr>
      <w:r>
        <w:t>1. Problem Identification</w:t>
      </w:r>
    </w:p>
    <w:p>
      <w:pPr>
        <w:pStyle w:val="Heading3"/>
      </w:pPr>
      <w:r>
        <w:t>1.1 Real World Problem</w:t>
      </w:r>
    </w:p>
    <w:p>
      <w:pPr>
        <w:jc w:val="both"/>
      </w:pPr>
      <w:r>
        <w:t>Traditional methods of taking attendance in educational institutions—such as calling out roll numbers or passing a sign-in sheet—are highly inefficient, time-consuming, and susceptible to proxy attendance. For large classes, manual attendance consumes a significant portion of instructional time. The need for an automated biometric system is paramount to maintaining academic integrity and maximizing teaching hours.</w:t>
      </w:r>
    </w:p>
    <w:p>
      <w:pPr>
        <w:jc w:val="both"/>
      </w:pPr>
      <w:r>
        <w:t>Traditional methods of taking attendance in educational institutions—such as calling out roll numbers or passing a sign-in sheet—are highly inefficient, time-consuming, and susceptible to proxy attendance. For large classes, manual attendance consumes a significant portion of instructional time. The need for an automated biometric system is paramount to maintaining academic integrity and maximizing teaching hours.</w:t>
      </w:r>
    </w:p>
    <w:p>
      <w:pPr>
        <w:jc w:val="both"/>
      </w:pPr>
      <w:r>
        <w:t>Traditional methods of taking attendance in educational institutions—such as calling out roll numbers or passing a sign-in sheet—are highly inefficient, time-consuming, and susceptible to proxy attendance. For large classes, manual attendance consumes a significant portion of instructional time. The need for an automated biometric system is paramount to maintaining academic integrity and maximizing teaching hours.</w:t>
      </w:r>
    </w:p>
    <w:p>
      <w:pPr>
        <w:jc w:val="both"/>
      </w:pPr>
      <w:r>
        <w:t>Traditional methods of taking attendance in educational institutions—such as calling out roll numbers or passing a sign-in sheet—are highly inefficient, time-consuming, and susceptible to proxy attendance. For large classes, manual attendance consumes a significant portion of instructional time. The need for an automated biometric system is paramount to maintaining academic integrity and maximizing teaching hours.</w:t>
      </w:r>
    </w:p>
    <w:p>
      <w:pPr>
        <w:pStyle w:val="Heading3"/>
      </w:pPr>
      <w:r>
        <w:t>1.2 Problem Justification</w:t>
      </w:r>
    </w:p>
    <w:p>
      <w:pPr>
        <w:jc w:val="both"/>
      </w:pPr>
      <w:r>
        <w:t>An automated biometric attendance system is justified as it reclaims instructional time, eliminates human error, and completely eradicates attendance fraud. Utilizing facial recognition provides a frictionless experience without requiring specialized hardware like fingerprint scanners, as it utilizes the existing ubiquitous web cameras on teacher and student devices.</w:t>
      </w:r>
    </w:p>
    <w:p>
      <w:pPr>
        <w:jc w:val="both"/>
      </w:pPr>
      <w:r>
        <w:t>An automated biometric attendance system is justified as it reclaims instructional time, eliminates human error, and completely eradicates attendance fraud. Utilizing facial recognition provides a frictionless experience without requiring specialized hardware like fingerprint scanners, as it utilizes the existing ubiquitous web cameras on teacher and student devices.</w:t>
      </w:r>
    </w:p>
    <w:p>
      <w:pPr>
        <w:jc w:val="both"/>
      </w:pPr>
      <w:r>
        <w:t>An automated biometric attendance system is justified as it reclaims instructional time, eliminates human error, and completely eradicates attendance fraud. Utilizing facial recognition provides a frictionless experience without requiring specialized hardware like fingerprint scanners, as it utilizes the existing ubiquitous web cameras on teacher and student devices.</w:t>
      </w:r>
    </w:p>
    <w:p>
      <w:pPr>
        <w:jc w:val="both"/>
      </w:pPr>
      <w:r>
        <w:t>An automated biometric attendance system is justified as it reclaims instructional time, eliminates human error, and completely eradicates attendance fraud. Utilizing facial recognition provides a frictionless experience without requiring specialized hardware like fingerprint scanners, as it utilizes the existing ubiquitous web cameras on teacher and student devices.</w:t>
      </w:r>
    </w:p>
    <w:p>
      <w:pPr>
        <w:pStyle w:val="Heading2"/>
      </w:pPr>
      <w:r>
        <w:t>3. SDLC Planning</w:t>
      </w:r>
    </w:p>
    <w:p>
      <w:pPr>
        <w:pStyle w:val="Heading3"/>
      </w:pPr>
      <w:r>
        <w:t>3.1 Agile Methodology &amp; Gantt Chart</w:t>
      </w:r>
    </w:p>
    <w:p>
      <w:pPr>
        <w:jc w:val="both"/>
      </w:pPr>
      <w:r>
        <w:t>The Agile methodology was chosen to adapt to shifting stakeholder requirements, specifically allowing rapid prototyping of the PDF and Audit Log modules. The roadmap is visualized below:</w:t>
      </w:r>
    </w:p>
    <w:p>
      <w:r>
        <w:drawing>
          <wp:inline xmlns:a="http://schemas.openxmlformats.org/drawingml/2006/main" xmlns:pic="http://schemas.openxmlformats.org/drawingml/2006/picture">
            <wp:extent cx="5486400" cy="703089"/>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486400" cy="703089"/>
                    </a:xfrm>
                    <a:prstGeom prst="rect"/>
                  </pic:spPr>
                </pic:pic>
              </a:graphicData>
            </a:graphic>
          </wp:inline>
        </w:drawing>
      </w:r>
    </w:p>
    <w:p>
      <w:pPr>
        <w:jc w:val="both"/>
      </w:pPr>
      <w:r>
        <w:t>The chart explicitly delineates the sprint phases across frontend, backend, and deployment boundaries.</w:t>
      </w:r>
    </w:p>
    <w:p>
      <w:pPr>
        <w:jc w:val="both"/>
      </w:pPr>
      <w:r>
        <w:t>The chart explicitly delineates the sprint phases across frontend, backend, and deployment boundaries.</w:t>
      </w:r>
    </w:p>
    <w:p>
      <w:pPr>
        <w:jc w:val="both"/>
      </w:pPr>
      <w:r>
        <w:t>The chart explicitly delineates the sprint phases across frontend, backend, and deployment boundaries.</w:t>
      </w:r>
    </w:p>
    <w:p>
      <w:pPr>
        <w:jc w:val="both"/>
      </w:pPr>
      <w:r>
        <w:t>The chart explicitly delineates the sprint phases across frontend, backend, and deployment boundaries.</w:t>
      </w:r>
    </w:p>
    <w:p>
      <w:r>
        <w:br w:type="page"/>
      </w:r>
    </w:p>
    <w:p>
      <w:pPr>
        <w:pStyle w:val="Heading2"/>
      </w:pPr>
      <w:r>
        <w:t>4. System Modeling Using UML Diagrams</w:t>
      </w:r>
    </w:p>
    <w:p>
      <w:pPr>
        <w:pStyle w:val="Heading3"/>
      </w:pPr>
      <w:r>
        <w:t>4.1 Use Case Diagram</w:t>
      </w:r>
    </w:p>
    <w:p>
      <w:pPr>
        <w:jc w:val="both"/>
      </w:pPr>
      <w:r>
        <w:t>The Use Case diagram below dictates the specific permissions and actions available to the Student and Teacher actors within the system boundaries.</w:t>
      </w:r>
    </w:p>
    <w:p>
      <w:pPr>
        <w:jc w:val="both"/>
      </w:pPr>
      <w:r>
        <w:t>Notice how the Teacher actor holds elevated privileges, including the ability to trigger the Audit Logs and edit the underlying database manually.</w:t>
      </w:r>
    </w:p>
    <w:p>
      <w:pPr>
        <w:jc w:val="both"/>
      </w:pPr>
      <w:r>
        <w:t>Notice how the Teacher actor holds elevated privileges, including the ability to trigger the Audit Logs and edit the underlying database manually.</w:t>
      </w:r>
    </w:p>
    <w:p>
      <w:pPr>
        <w:jc w:val="both"/>
      </w:pPr>
      <w:r>
        <w:t>Notice how the Teacher actor holds elevated privileges, including the ability to trigger the Audit Logs and edit the underlying database manually.</w:t>
      </w:r>
    </w:p>
    <w:p>
      <w:pPr>
        <w:jc w:val="both"/>
      </w:pPr>
      <w:r>
        <w:t>Notice how the Teacher actor holds elevated privileges, including the ability to trigger the Audit Logs and edit the underlying database manually.</w:t>
      </w:r>
    </w:p>
    <w:p>
      <w:r>
        <w:br w:type="page"/>
      </w:r>
    </w:p>
    <w:p>
      <w:pPr>
        <w:pStyle w:val="Heading3"/>
      </w:pPr>
      <w:r>
        <w:t>4.2 Class Diagram</w:t>
      </w:r>
    </w:p>
    <w:p>
      <w:pPr>
        <w:jc w:val="both"/>
      </w:pPr>
      <w:r>
        <w:t>The Class Diagram reflects the internal Object Relational Mapping (ORM) structure utilized by SQLAlchemy. It defines the specific data types, integers, and foreign key relations inherent to the Python Backend.</w:t>
      </w:r>
    </w:p>
    <w:p>
      <w:r>
        <w:drawing>
          <wp:inline xmlns:a="http://schemas.openxmlformats.org/drawingml/2006/main" xmlns:pic="http://schemas.openxmlformats.org/drawingml/2006/picture">
            <wp:extent cx="4572000" cy="4511501"/>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4572000" cy="4511501"/>
                    </a:xfrm>
                    <a:prstGeom prst="rect"/>
                  </pic:spPr>
                </pic:pic>
              </a:graphicData>
            </a:graphic>
          </wp:inline>
        </w:drawing>
      </w:r>
    </w:p>
    <w:p>
      <w:pPr>
        <w:jc w:val="both"/>
      </w:pPr>
      <w:r>
        <w:t>The classes establish a 1-to-N relationship architecture. The Student class encapsulates the 128D facial encoding string, ensuring the data is isolated from the transactional Attendance class.</w:t>
      </w:r>
    </w:p>
    <w:p>
      <w:pPr>
        <w:jc w:val="both"/>
      </w:pPr>
      <w:r>
        <w:t>The classes establish a 1-to-N relationship architecture. The Student class encapsulates the 128D facial encoding string, ensuring the data is isolated from the transactional Attendance class.</w:t>
      </w:r>
    </w:p>
    <w:p>
      <w:pPr>
        <w:jc w:val="both"/>
      </w:pPr>
      <w:r>
        <w:t>The classes establish a 1-to-N relationship architecture. The Student class encapsulates the 128D facial encoding string, ensuring the data is isolated from the transactional Attendance class.</w:t>
      </w:r>
    </w:p>
    <w:p>
      <w:pPr>
        <w:jc w:val="both"/>
      </w:pPr>
      <w:r>
        <w:t>The classes establish a 1-to-N relationship architecture. The Student class encapsulates the 128D facial encoding string, ensuring the data is isolated from the transactional Attendance class.</w:t>
      </w:r>
    </w:p>
    <w:p>
      <w:r>
        <w:br w:type="page"/>
      </w:r>
    </w:p>
    <w:p>
      <w:pPr>
        <w:pStyle w:val="Heading3"/>
      </w:pPr>
      <w:r>
        <w:t>4.3 Entity Relationship (ER) Diagram</w:t>
      </w:r>
    </w:p>
    <w:p>
      <w:pPr>
        <w:jc w:val="both"/>
      </w:pPr>
      <w:r>
        <w:t>The ER Diagram showcases the physical implementation of the database schemas, including Primary Keys (PK) and Unique Keys (UK).</w:t>
      </w:r>
    </w:p>
    <w:p>
      <w:r>
        <w:drawing>
          <wp:inline xmlns:a="http://schemas.openxmlformats.org/drawingml/2006/main" xmlns:pic="http://schemas.openxmlformats.org/drawingml/2006/picture">
            <wp:extent cx="4114800" cy="2495643"/>
            <wp:docPr id="3" name="Picture 3"/>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4114800" cy="2495643"/>
                    </a:xfrm>
                    <a:prstGeom prst="rect"/>
                  </pic:spPr>
                </pic:pic>
              </a:graphicData>
            </a:graphic>
          </wp:inline>
        </w:drawing>
      </w:r>
    </w:p>
    <w:p>
      <w:pPr>
        <w:jc w:val="both"/>
      </w:pPr>
      <w:r>
        <w:t>This normalized structure guarantees database integrity. It ensures that any destructively modifying action triggers a relational cascade or, in the case of Audit Logs, writes a permanent ledger entry.</w:t>
      </w:r>
    </w:p>
    <w:p>
      <w:pPr>
        <w:jc w:val="both"/>
      </w:pPr>
      <w:r>
        <w:t>This normalized structure guarantees database integrity. It ensures that any destructively modifying action triggers a relational cascade or, in the case of Audit Logs, writes a permanent ledger entry.</w:t>
      </w:r>
    </w:p>
    <w:p>
      <w:pPr>
        <w:jc w:val="both"/>
      </w:pPr>
      <w:r>
        <w:t>This normalized structure guarantees database integrity. It ensures that any destructively modifying action triggers a relational cascade or, in the case of Audit Logs, writes a permanent ledger entry.</w:t>
      </w:r>
    </w:p>
    <w:p>
      <w:pPr>
        <w:jc w:val="both"/>
      </w:pPr>
      <w:r>
        <w:t>This normalized structure guarantees database integrity. It ensures that any destructively modifying action triggers a relational cascade or, in the case of Audit Logs, writes a permanent ledger entry.</w:t>
      </w:r>
    </w:p>
    <w:p>
      <w:r>
        <w:br w:type="page"/>
      </w:r>
    </w:p>
    <w:p>
      <w:pPr>
        <w:pStyle w:val="Heading3"/>
      </w:pPr>
      <w:r>
        <w:t>4.4 Sequence Diagram</w:t>
      </w:r>
    </w:p>
    <w:p>
      <w:pPr>
        <w:jc w:val="both"/>
      </w:pPr>
      <w:r>
        <w:t>The Sequence Diagram dictates the synchronous and asynchronous HTTP/WebRTC flows required to execute the live facial recognition scanner.</w:t>
      </w:r>
    </w:p>
    <w:p>
      <w:r>
        <w:drawing>
          <wp:inline xmlns:a="http://schemas.openxmlformats.org/drawingml/2006/main" xmlns:pic="http://schemas.openxmlformats.org/drawingml/2006/picture">
            <wp:extent cx="5029200" cy="4219903"/>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029200" cy="4219903"/>
                    </a:xfrm>
                    <a:prstGeom prst="rect"/>
                  </pic:spPr>
                </pic:pic>
              </a:graphicData>
            </a:graphic>
          </wp:inline>
        </w:drawing>
      </w:r>
    </w:p>
    <w:p>
      <w:pPr>
        <w:jc w:val="both"/>
      </w:pPr>
      <w:r>
        <w:t>The flow originates at the Frontend UI, requests biometric vectors from the FastAPI backend, executes localized GPU computations within a loop, and concludes with a bulk JSON POST request upon save.</w:t>
      </w:r>
    </w:p>
    <w:p>
      <w:pPr>
        <w:jc w:val="both"/>
      </w:pPr>
      <w:r>
        <w:t>The flow originates at the Frontend UI, requests biometric vectors from the FastAPI backend, executes localized GPU computations within a loop, and concludes with a bulk JSON POST request upon save.</w:t>
      </w:r>
    </w:p>
    <w:p>
      <w:pPr>
        <w:jc w:val="both"/>
      </w:pPr>
      <w:r>
        <w:t>The flow originates at the Frontend UI, requests biometric vectors from the FastAPI backend, executes localized GPU computations within a loop, and concludes with a bulk JSON POST request upon save.</w:t>
      </w:r>
    </w:p>
    <w:p>
      <w:pPr>
        <w:jc w:val="both"/>
      </w:pPr>
      <w:r>
        <w:t>The flow originates at the Frontend UI, requests biometric vectors from the FastAPI backend, executes localized GPU computations within a loop, and concludes with a bulk JSON POST request upon save.</w:t>
      </w:r>
    </w:p>
    <w:p>
      <w:r>
        <w:br w:type="page"/>
      </w:r>
    </w:p>
    <w:p>
      <w:pPr>
        <w:pStyle w:val="Heading3"/>
      </w:pPr>
      <w:r>
        <w:t>4.5 Activity Diagram</w:t>
      </w:r>
    </w:p>
    <w:p>
      <w:pPr>
        <w:jc w:val="both"/>
      </w:pPr>
      <w:r>
        <w:t>The Activity Diagram maps the complex conditional branching executed by the system during a sensitive task, such as a Teacher modifying a student's profile.</w:t>
      </w:r>
    </w:p>
    <w:p>
      <w:r>
        <w:drawing>
          <wp:inline xmlns:a="http://schemas.openxmlformats.org/drawingml/2006/main" xmlns:pic="http://schemas.openxmlformats.org/drawingml/2006/picture">
            <wp:extent cx="2743200" cy="5339067"/>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2743200" cy="5339067"/>
                    </a:xfrm>
                    <a:prstGeom prst="rect"/>
                  </pic:spPr>
                </pic:pic>
              </a:graphicData>
            </a:graphic>
          </wp:inline>
        </w:drawing>
      </w:r>
    </w:p>
    <w:p>
      <w:pPr>
        <w:jc w:val="both"/>
      </w:pPr>
      <w:r>
        <w:t>The system strictly validates input, queries the 'Before' state of the database, executes the SQLAlchemy update, calculates the state differential, and permanently records it in the Audit Log.</w:t>
      </w:r>
    </w:p>
    <w:p>
      <w:pPr>
        <w:jc w:val="both"/>
      </w:pPr>
      <w:r>
        <w:t>The system strictly validates input, queries the 'Before' state of the database, executes the SQLAlchemy update, calculates the state differential, and permanently records it in the Audit Log.</w:t>
      </w:r>
    </w:p>
    <w:p>
      <w:pPr>
        <w:jc w:val="both"/>
      </w:pPr>
      <w:r>
        <w:t>The system strictly validates input, queries the 'Before' state of the database, executes the SQLAlchemy update, calculates the state differential, and permanently records it in the Audit Log.</w:t>
      </w:r>
    </w:p>
    <w:p>
      <w:pPr>
        <w:jc w:val="both"/>
      </w:pPr>
      <w:r>
        <w:t>The system strictly validates input, queries the 'Before' state of the database, executes the SQLAlchemy update, calculates the state differential, and permanently records it in the Audit Log.</w:t>
      </w:r>
    </w:p>
    <w:p>
      <w:r>
        <w:br w:type="page"/>
      </w:r>
    </w:p>
    <w:p>
      <w:pPr>
        <w:pStyle w:val="Heading1"/>
      </w:pPr>
      <w:r>
        <w:t>Module 2: Implementation, Testing &amp; Evaluation</w:t>
      </w:r>
    </w:p>
    <w:p>
      <w:pPr>
        <w:pStyle w:val="Heading2"/>
      </w:pPr>
      <w:r>
        <w:t>5. Architecture &amp; Implementation</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jc w:val="both"/>
      </w:pPr>
      <w:r>
        <w:t>The backend utilizes FastAPI to handle highly concurrent requests, leveraging ASGI to unblock I/O operations. The frontend implements TailwindCSS for sophisticated, responsive glassmorphic styling, completely separate from the core Python logic.</w:t>
      </w:r>
    </w:p>
    <w:p>
      <w:pPr>
        <w:pStyle w:val="Heading2"/>
      </w:pPr>
      <w:r>
        <w:t>6. Testing Protocols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jc w:val="both"/>
      </w:pPr>
      <w:r>
        <w:t>Extensive Unit, Integration, and Black-Box testing protocols were implemented to verify system integrity. Specifically, Euclidean distance thresholds in Face-API.js were stress-tested to find an optimal threshold of 0.45 to minimize false positives.</w:t>
      </w:r>
    </w:p>
    <w:p>
      <w:pPr>
        <w:pStyle w:val="Heading2"/>
      </w:pPr>
      <w:r>
        <w:t>7. Final Output &amp; Documentation</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pPr>
        <w:jc w:val="both"/>
      </w:pPr>
      <w:r>
        <w:t>The finalized architecture robustly supports native in-memory PDF generation, immutable Audit Logging for supreme data governance, and automated 'Defaulter' tracking based on 75% thresholds.</w:t>
      </w:r>
    </w:p>
    <w:p>
      <w:r>
        <w:br w:type="page"/>
      </w:r>
    </w:p>
    <w:p>
      <w:pPr>
        <w:pStyle w:val="Heading2"/>
      </w:pPr>
      <w:r>
        <w:t>Appendix Section 1: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2: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3: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4: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5: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6: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7: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8: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9: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10: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11: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12: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13: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14: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r>
        <w:br w:type="page"/>
      </w:r>
    </w:p>
    <w:p>
      <w:pPr>
        <w:pStyle w:val="Heading2"/>
      </w:pPr>
      <w:r>
        <w:t>Appendix Section 15: Extended Architectural Theory</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p>
      <w:pPr>
        <w:jc w:val="both"/>
      </w:pPr>
      <w:r>
        <w:t>In highly scalable environments, deploying Python applications via Uvicorn within Docker containers ensures total isolation. Integrating external PostgreSQL databases via connection pooling prevents thread locking. Continuous Integration workflows (CI/CD) on Render allow zero-downtime rolling updates. Machine learning models run efficiently on the edge to prevent server-side bottlenecks. Furthermore, the decoupling of the frontend rendering context from the backend logic allows for future expansion into mobile application frameworks like Flutter or React Native without necessitating API rewrites. The use of bcrypt for hashing passwords prevents cryptographic attacks, while structured session cookies securely manage state across the stateless HTTP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A2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A2864"/>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A2864"/>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