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120"/>
        <w:jc w:val="center"/>
      </w:pPr>
      <w:r>
        <w:rPr>
          <w:rFonts w:ascii="Arial" w:cs="Arial" w:eastAsia="Arial" w:hAnsi="Arial"/>
          <w:b/>
          <w:bCs/>
          <w:caps/>
          <w:color w:val="1F3864"/>
          <w:sz w:val="52"/>
          <w:szCs w:val="52"/>
        </w:rPr>
        <w:t xml:space="preserve">PAYFLOW LTD</w:t>
      </w:r>
    </w:p>
    <w:p>
      <w:pPr>
        <w:spacing w:after="80"/>
        <w:jc w:val="center"/>
      </w:pPr>
      <w:r>
        <w:rPr>
          <w:rFonts w:ascii="Arial" w:cs="Arial" w:eastAsia="Arial" w:hAnsi="Arial"/>
          <w:b/>
          <w:bCs/>
          <w:color w:val="1A1A1A"/>
          <w:sz w:val="36"/>
          <w:szCs w:val="36"/>
        </w:rPr>
        <w:t xml:space="preserve">Risk Remediation Plan</w:t>
      </w:r>
    </w:p>
    <w:p>
      <w:pPr>
        <w:spacing w:after="60"/>
        <w:jc w:val="center"/>
      </w:pPr>
      <w:r>
        <w:rPr>
          <w:rFonts w:ascii="Arial" w:cs="Arial" w:eastAsia="Arial" w:hAnsi="Arial"/>
          <w:i/>
          <w:iCs/>
          <w:color w:val="555555"/>
          <w:sz w:val="24"/>
          <w:szCs w:val="24"/>
        </w:rPr>
        <w:t xml:space="preserve">ISO 27001:2022 Aligned (Clause 6.1.2 — Risk Assessment)</w:t>
      </w:r>
    </w:p>
    <w:p>
      <w:pPr>
        <w:spacing w:after="480"/>
      </w:pPr>
    </w:p>
    <w:p>
      <w:pPr>
        <w:spacing w:after="60"/>
        <w:jc w:val="center"/>
      </w:pPr>
      <w:r>
        <w:rPr>
          <w:rFonts w:ascii="Arial" w:cs="Arial" w:eastAsia="Arial" w:hAnsi="Arial"/>
          <w:color w:val="1A1A1A"/>
          <w:sz w:val="20"/>
          <w:szCs w:val="20"/>
        </w:rPr>
        <w:t xml:space="preserve">Version: 1.0</w:t>
      </w:r>
    </w:p>
    <w:p>
      <w:pPr>
        <w:spacing w:after="60"/>
        <w:jc w:val="center"/>
      </w:pPr>
      <w:r>
        <w:rPr>
          <w:rFonts w:ascii="Arial" w:cs="Arial" w:eastAsia="Arial" w:hAnsi="Arial"/>
          <w:color w:val="1A1A1A"/>
          <w:sz w:val="20"/>
          <w:szCs w:val="20"/>
        </w:rPr>
        <w:t xml:space="preserve">Date: June 2026</w:t>
      </w:r>
    </w:p>
    <w:p>
      <w:pPr>
        <w:spacing w:after="60"/>
        <w:jc w:val="center"/>
      </w:pPr>
      <w:r>
        <w:rPr>
          <w:rFonts w:ascii="Arial" w:cs="Arial" w:eastAsia="Arial" w:hAnsi="Arial"/>
          <w:color w:val="1A1A1A"/>
          <w:sz w:val="20"/>
          <w:szCs w:val="20"/>
        </w:rPr>
        <w:t xml:space="preserve">Prepared by: Bhuvana Kodathi Srinivas</w:t>
      </w:r>
    </w:p>
    <w:p>
      <w:pPr>
        <w:spacing w:after="60"/>
        <w:jc w:val="center"/>
      </w:pPr>
      <w:r>
        <w:rPr>
          <w:rFonts w:ascii="Arial" w:cs="Arial" w:eastAsia="Arial" w:hAnsi="Arial"/>
          <w:b/>
          <w:bCs/>
          <w:color w:val="C00000"/>
          <w:sz w:val="20"/>
          <w:szCs w:val="20"/>
        </w:rPr>
        <w:t xml:space="preserve">Classification: Confidential</w:t>
      </w:r>
    </w:p>
    <w:p>
      <w:r>
        <w:br w:type="page"/>
      </w:r>
    </w:p>
    <w:p>
      <w:pPr>
        <w:pStyle w:val="Heading1"/>
        <w:spacing w:after="80" w:before="320"/>
      </w:pPr>
      <w:r>
        <w:rPr>
          <w:rFonts w:ascii="Arial" w:cs="Arial" w:eastAsia="Arial" w:hAnsi="Arial"/>
          <w:b/>
          <w:bCs/>
          <w:caps/>
          <w:color w:val="1F3864"/>
          <w:sz w:val="26"/>
          <w:szCs w:val="26"/>
        </w:rPr>
        <w:t xml:space="preserve">Executive Summary</w:t>
      </w:r>
    </w:p>
    <w:p>
      <w:pPr>
        <w:pBdr>
          <w:bottom w:val="single" w:color="1F3864" w:sz="8" w:space="1"/>
        </w:pBdr>
        <w:spacing w:after="120"/>
      </w:pPr>
    </w:p>
    <w:p>
      <w:pPr>
        <w:spacing w:after="80"/>
      </w:pPr>
      <w:r>
        <w:rPr>
          <w:rFonts w:ascii="Arial" w:cs="Arial" w:eastAsia="Arial" w:hAnsi="Arial"/>
          <w:color w:val="1A1A1A"/>
          <w:sz w:val="20"/>
          <w:szCs w:val="20"/>
        </w:rPr>
        <w:t xml:space="preserve">This Risk Remediation Plan has been developed for PayFlow Ltd, a 30-person Dublin-based fintech startup providing a cloud-based payment processing platform for SME clients across Ireland and the EU. The plan documents prioritised remediation actions for all 26 risks identified in the PayFlow Ltd Information Security Risk Register.</w:t>
      </w:r>
    </w:p>
    <w:p>
      <w:pPr>
        <w:spacing w:after="80"/>
      </w:pPr>
    </w:p>
    <w:p>
      <w:pPr>
        <w:spacing w:after="80"/>
      </w:pPr>
      <w:r>
        <w:rPr>
          <w:rFonts w:ascii="Arial" w:cs="Arial" w:eastAsia="Arial" w:hAnsi="Arial"/>
          <w:color w:val="1A1A1A"/>
          <w:sz w:val="20"/>
          <w:szCs w:val="20"/>
        </w:rPr>
        <w:t xml:space="preserve">Risks were assessed using a 5x5 Likelihood x Impact scoring matrix aligned to ISO 27001:2022 Clause 6.1.2 (Information Security Risk Assessment). The remediation actions below are grouped by priority level to enable PayFlow's leadership team to allocate resources effectively and address the most critical threats first.</w:t>
      </w:r>
    </w:p>
    <w:p>
      <w:pPr>
        <w:spacing w:after="80"/>
      </w:pPr>
    </w:p>
    <w:p>
      <w:pPr>
        <w:pStyle w:val="Heading2"/>
        <w:spacing w:after="60" w:before="220"/>
      </w:pPr>
      <w:r>
        <w:rPr>
          <w:rFonts w:ascii="Arial" w:cs="Arial" w:eastAsia="Arial" w:hAnsi="Arial"/>
          <w:b/>
          <w:bCs/>
          <w:color w:val="1F3864"/>
          <w:sz w:val="22"/>
          <w:szCs w:val="22"/>
        </w:rPr>
        <w:t xml:space="preserve">Risk Summary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c>
          <w:tcPr>
            <w:tcBorders>
              <w:top w:val="single" w:color="CCCCCC" w:sz="4"/>
              <w:left w:val="single" w:color="CCCCCC" w:sz="4"/>
              <w:bottom w:val="single" w:color="CCCCCC" w:sz="4"/>
              <w:right w:val="single" w:color="CCCCCC" w:sz="4"/>
            </w:tcBorders>
            <w:shd w:fill="1F3864" w:val="clear"/>
          </w:tcPr>
          <w:p>
            <w:pPr>
              <w:spacing w:after="40" w:before="40"/>
            </w:pPr>
            <w:r>
              <w:rPr>
                <w:rFonts w:ascii="Arial" w:cs="Arial" w:eastAsia="Arial" w:hAnsi="Arial"/>
                <w:b/>
                <w:bCs/>
                <w:color w:val="FFFFFF"/>
                <w:sz w:val="18"/>
                <w:szCs w:val="18"/>
              </w:rPr>
              <w:t xml:space="preserve">Risk Level</w:t>
            </w:r>
          </w:p>
        </w:tc>
        <w:tc>
          <w:tcPr>
            <w:tcBorders>
              <w:top w:val="single" w:color="CCCCCC" w:sz="4"/>
              <w:left w:val="single" w:color="CCCCCC" w:sz="4"/>
              <w:bottom w:val="single" w:color="CCCCCC" w:sz="4"/>
              <w:right w:val="single" w:color="CCCCCC" w:sz="4"/>
            </w:tcBorders>
            <w:shd w:fill="1F3864" w:val="clear"/>
          </w:tcPr>
          <w:p>
            <w:pPr>
              <w:spacing w:after="40" w:before="40"/>
            </w:pPr>
            <w:r>
              <w:rPr>
                <w:rFonts w:ascii="Arial" w:cs="Arial" w:eastAsia="Arial" w:hAnsi="Arial"/>
                <w:b/>
                <w:bCs/>
                <w:color w:val="FFFFFF"/>
                <w:sz w:val="18"/>
                <w:szCs w:val="18"/>
              </w:rPr>
              <w:t xml:space="preserve">Count</w:t>
            </w:r>
          </w:p>
        </w:tc>
        <w:tc>
          <w:tcPr>
            <w:tcBorders>
              <w:top w:val="single" w:color="CCCCCC" w:sz="4"/>
              <w:left w:val="single" w:color="CCCCCC" w:sz="4"/>
              <w:bottom w:val="single" w:color="CCCCCC" w:sz="4"/>
              <w:right w:val="single" w:color="CCCCCC" w:sz="4"/>
            </w:tcBorders>
            <w:shd w:fill="1F3864" w:val="clear"/>
          </w:tcPr>
          <w:p>
            <w:pPr>
              <w:spacing w:after="40" w:before="40"/>
            </w:pPr>
            <w:r>
              <w:rPr>
                <w:rFonts w:ascii="Arial" w:cs="Arial" w:eastAsia="Arial" w:hAnsi="Arial"/>
                <w:b/>
                <w:bCs/>
                <w:color w:val="FFFFFF"/>
                <w:sz w:val="18"/>
                <w:szCs w:val="18"/>
              </w:rPr>
              <w:t xml:space="preserve">Percentage</w:t>
            </w:r>
          </w:p>
        </w:tc>
      </w:tr>
      <w:tr>
        <w:tc>
          <w:tcPr>
            <w:tcBorders>
              <w:top w:val="single" w:color="CCCCCC" w:sz="4"/>
              <w:left w:val="single" w:color="CCCCCC" w:sz="4"/>
              <w:bottom w:val="single" w:color="CCCCCC" w:sz="4"/>
              <w:right w:val="single" w:color="CCCCCC" w:sz="4"/>
            </w:tcBorders>
            <w:shd w:fill="F2F2F2" w:val="clear"/>
          </w:tcPr>
          <w:p>
            <w:pPr>
              <w:spacing w:after="40" w:before="40"/>
            </w:pPr>
            <w:r>
              <w:rPr>
                <w:rFonts w:ascii="Arial" w:cs="Arial" w:eastAsia="Arial" w:hAnsi="Arial"/>
                <w:b w:val="false"/>
                <w:bCs w:val="false"/>
                <w:color w:val="1A1A1A"/>
                <w:sz w:val="18"/>
                <w:szCs w:val="18"/>
              </w:rPr>
              <w:t xml:space="preserve">Critical</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8</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31%</w:t>
            </w:r>
          </w:p>
        </w:tc>
      </w:tr>
      <w:tr>
        <w:tc>
          <w:tcPr>
            <w:tcBorders>
              <w:top w:val="single" w:color="CCCCCC" w:sz="4"/>
              <w:left w:val="single" w:color="CCCCCC" w:sz="4"/>
              <w:bottom w:val="single" w:color="CCCCCC" w:sz="4"/>
              <w:right w:val="single" w:color="CCCCCC" w:sz="4"/>
            </w:tcBorders>
            <w:shd w:fill="F2F2F2" w:val="clear"/>
          </w:tcPr>
          <w:p>
            <w:pPr>
              <w:spacing w:after="40" w:before="40"/>
            </w:pPr>
            <w:r>
              <w:rPr>
                <w:rFonts w:ascii="Arial" w:cs="Arial" w:eastAsia="Arial" w:hAnsi="Arial"/>
                <w:b w:val="false"/>
                <w:bCs w:val="false"/>
                <w:color w:val="1A1A1A"/>
                <w:sz w:val="18"/>
                <w:szCs w:val="18"/>
              </w:rPr>
              <w:t xml:space="preserve">High</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16</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61%</w:t>
            </w:r>
          </w:p>
        </w:tc>
      </w:tr>
      <w:tr>
        <w:tc>
          <w:tcPr>
            <w:tcBorders>
              <w:top w:val="single" w:color="CCCCCC" w:sz="4"/>
              <w:left w:val="single" w:color="CCCCCC" w:sz="4"/>
              <w:bottom w:val="single" w:color="CCCCCC" w:sz="4"/>
              <w:right w:val="single" w:color="CCCCCC" w:sz="4"/>
            </w:tcBorders>
            <w:shd w:fill="F2F2F2" w:val="clear"/>
          </w:tcPr>
          <w:p>
            <w:pPr>
              <w:spacing w:after="40" w:before="40"/>
            </w:pPr>
            <w:r>
              <w:rPr>
                <w:rFonts w:ascii="Arial" w:cs="Arial" w:eastAsia="Arial" w:hAnsi="Arial"/>
                <w:b w:val="false"/>
                <w:bCs w:val="false"/>
                <w:color w:val="1A1A1A"/>
                <w:sz w:val="18"/>
                <w:szCs w:val="18"/>
              </w:rPr>
              <w:t xml:space="preserve">Medium</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2</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8%</w:t>
            </w:r>
          </w:p>
        </w:tc>
      </w:tr>
      <w:tr>
        <w:tc>
          <w:tcPr>
            <w:tcBorders>
              <w:top w:val="single" w:color="CCCCCC" w:sz="4"/>
              <w:left w:val="single" w:color="CCCCCC" w:sz="4"/>
              <w:bottom w:val="single" w:color="CCCCCC" w:sz="4"/>
              <w:right w:val="single" w:color="CCCCCC" w:sz="4"/>
            </w:tcBorders>
            <w:shd w:fill="F2F2F2" w:val="clear"/>
          </w:tcPr>
          <w:p>
            <w:pPr>
              <w:spacing w:after="40" w:before="40"/>
            </w:pPr>
            <w:r>
              <w:rPr>
                <w:rFonts w:ascii="Arial" w:cs="Arial" w:eastAsia="Arial" w:hAnsi="Arial"/>
                <w:b w:val="false"/>
                <w:bCs w:val="false"/>
                <w:color w:val="1A1A1A"/>
                <w:sz w:val="18"/>
                <w:szCs w:val="18"/>
              </w:rPr>
              <w:t xml:space="preserve">Total</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26</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100%</w:t>
            </w:r>
          </w:p>
        </w:tc>
      </w:tr>
    </w:tbl>
    <w:p>
      <w:pPr>
        <w:spacing w:after="80"/>
      </w:pPr>
    </w:p>
    <w:p>
      <w:pPr>
        <w:pStyle w:val="Heading2"/>
        <w:spacing w:after="60" w:before="220"/>
      </w:pPr>
      <w:r>
        <w:rPr>
          <w:rFonts w:ascii="Arial" w:cs="Arial" w:eastAsia="Arial" w:hAnsi="Arial"/>
          <w:b/>
          <w:bCs/>
          <w:color w:val="1F3864"/>
          <w:sz w:val="22"/>
          <w:szCs w:val="22"/>
        </w:rPr>
        <w:t xml:space="preserve">Remediation Timeline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c>
          <w:tcPr>
            <w:tcBorders>
              <w:top w:val="single" w:color="CCCCCC" w:sz="4"/>
              <w:left w:val="single" w:color="CCCCCC" w:sz="4"/>
              <w:bottom w:val="single" w:color="CCCCCC" w:sz="4"/>
              <w:right w:val="single" w:color="CCCCCC" w:sz="4"/>
            </w:tcBorders>
            <w:shd w:fill="1F3864" w:val="clear"/>
          </w:tcPr>
          <w:p>
            <w:pPr>
              <w:spacing w:after="40" w:before="40"/>
            </w:pPr>
            <w:r>
              <w:rPr>
                <w:rFonts w:ascii="Arial" w:cs="Arial" w:eastAsia="Arial" w:hAnsi="Arial"/>
                <w:b/>
                <w:bCs/>
                <w:color w:val="FFFFFF"/>
                <w:sz w:val="18"/>
                <w:szCs w:val="18"/>
              </w:rPr>
              <w:t xml:space="preserve">Target</w:t>
            </w:r>
          </w:p>
        </w:tc>
        <w:tc>
          <w:tcPr>
            <w:tcBorders>
              <w:top w:val="single" w:color="CCCCCC" w:sz="4"/>
              <w:left w:val="single" w:color="CCCCCC" w:sz="4"/>
              <w:bottom w:val="single" w:color="CCCCCC" w:sz="4"/>
              <w:right w:val="single" w:color="CCCCCC" w:sz="4"/>
            </w:tcBorders>
            <w:shd w:fill="1F3864" w:val="clear"/>
          </w:tcPr>
          <w:p>
            <w:pPr>
              <w:spacing w:after="40" w:before="40"/>
            </w:pPr>
            <w:r>
              <w:rPr>
                <w:rFonts w:ascii="Arial" w:cs="Arial" w:eastAsia="Arial" w:hAnsi="Arial"/>
                <w:b/>
                <w:bCs/>
                <w:color w:val="FFFFFF"/>
                <w:sz w:val="18"/>
                <w:szCs w:val="18"/>
              </w:rPr>
              <w:t xml:space="preserve">Risks</w:t>
            </w:r>
          </w:p>
        </w:tc>
        <w:tc>
          <w:tcPr>
            <w:tcBorders>
              <w:top w:val="single" w:color="CCCCCC" w:sz="4"/>
              <w:left w:val="single" w:color="CCCCCC" w:sz="4"/>
              <w:bottom w:val="single" w:color="CCCCCC" w:sz="4"/>
              <w:right w:val="single" w:color="CCCCCC" w:sz="4"/>
            </w:tcBorders>
            <w:shd w:fill="1F3864" w:val="clear"/>
          </w:tcPr>
          <w:p>
            <w:pPr>
              <w:spacing w:after="40" w:before="40"/>
            </w:pPr>
            <w:r>
              <w:rPr>
                <w:rFonts w:ascii="Arial" w:cs="Arial" w:eastAsia="Arial" w:hAnsi="Arial"/>
                <w:b/>
                <w:bCs/>
                <w:color w:val="FFFFFF"/>
                <w:sz w:val="18"/>
                <w:szCs w:val="18"/>
              </w:rPr>
              <w:t xml:space="preserve">Priority</w:t>
            </w:r>
          </w:p>
        </w:tc>
      </w:tr>
      <w:tr>
        <w:tc>
          <w:tcPr>
            <w:tcBorders>
              <w:top w:val="single" w:color="CCCCCC" w:sz="4"/>
              <w:left w:val="single" w:color="CCCCCC" w:sz="4"/>
              <w:bottom w:val="single" w:color="CCCCCC" w:sz="4"/>
              <w:right w:val="single" w:color="CCCCCC" w:sz="4"/>
            </w:tcBorders>
            <w:shd w:fill="F2F2F2" w:val="clear"/>
          </w:tcPr>
          <w:p>
            <w:pPr>
              <w:spacing w:after="40" w:before="40"/>
            </w:pPr>
            <w:r>
              <w:rPr>
                <w:rFonts w:ascii="Arial" w:cs="Arial" w:eastAsia="Arial" w:hAnsi="Arial"/>
                <w:b w:val="false"/>
                <w:bCs w:val="false"/>
                <w:color w:val="1A1A1A"/>
                <w:sz w:val="18"/>
                <w:szCs w:val="18"/>
              </w:rPr>
              <w:t xml:space="preserve">Q1 2026 (Immediate)</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18</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All Critical + majority of High</w:t>
            </w:r>
          </w:p>
        </w:tc>
      </w:tr>
      <w:tr>
        <w:tc>
          <w:tcPr>
            <w:tcBorders>
              <w:top w:val="single" w:color="CCCCCC" w:sz="4"/>
              <w:left w:val="single" w:color="CCCCCC" w:sz="4"/>
              <w:bottom w:val="single" w:color="CCCCCC" w:sz="4"/>
              <w:right w:val="single" w:color="CCCCCC" w:sz="4"/>
            </w:tcBorders>
            <w:shd w:fill="F2F2F2" w:val="clear"/>
          </w:tcPr>
          <w:p>
            <w:pPr>
              <w:spacing w:after="40" w:before="40"/>
            </w:pPr>
            <w:r>
              <w:rPr>
                <w:rFonts w:ascii="Arial" w:cs="Arial" w:eastAsia="Arial" w:hAnsi="Arial"/>
                <w:b w:val="false"/>
                <w:bCs w:val="false"/>
                <w:color w:val="1A1A1A"/>
                <w:sz w:val="18"/>
                <w:szCs w:val="18"/>
              </w:rPr>
              <w:t xml:space="preserve">Q2 2026 (90 days)</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8</w:t>
            </w:r>
          </w:p>
        </w:tc>
        <w:tc>
          <w:tcPr>
            <w:tcBorders>
              <w:top w:val="single" w:color="CCCCCC" w:sz="4"/>
              <w:left w:val="single" w:color="CCCCCC" w:sz="4"/>
              <w:bottom w:val="single" w:color="CCCCCC" w:sz="4"/>
              <w:right w:val="single" w:color="CCCCCC" w:sz="4"/>
            </w:tcBorders>
            <w:shd w:fill="FFFFFF" w:val="clear"/>
          </w:tcPr>
          <w:p>
            <w:pPr>
              <w:spacing w:after="40" w:before="40"/>
            </w:pPr>
            <w:r>
              <w:rPr>
                <w:rFonts w:ascii="Arial" w:cs="Arial" w:eastAsia="Arial" w:hAnsi="Arial"/>
                <w:b w:val="false"/>
                <w:bCs w:val="false"/>
                <w:color w:val="1A1A1A"/>
                <w:sz w:val="18"/>
                <w:szCs w:val="18"/>
              </w:rPr>
              <w:t xml:space="preserve">Remaining High + Medium</w:t>
            </w:r>
          </w:p>
        </w:tc>
      </w:tr>
    </w:tbl>
    <w:p>
      <w:r>
        <w:br w:type="page"/>
      </w:r>
    </w:p>
    <w:p>
      <w:pPr>
        <w:pStyle w:val="Heading1"/>
        <w:spacing w:after="80" w:before="320"/>
      </w:pPr>
      <w:r>
        <w:rPr>
          <w:rFonts w:ascii="Arial" w:cs="Arial" w:eastAsia="Arial" w:hAnsi="Arial"/>
          <w:b/>
          <w:bCs/>
          <w:caps/>
          <w:color w:val="1F3864"/>
          <w:sz w:val="26"/>
          <w:szCs w:val="26"/>
        </w:rPr>
        <w:t xml:space="preserve">Critical Priority Remediations</w:t>
      </w:r>
    </w:p>
    <w:p>
      <w:pPr>
        <w:pBdr>
          <w:bottom w:val="single" w:color="1F3864" w:sz="8" w:space="1"/>
        </w:pBdr>
        <w:spacing w:after="120"/>
      </w:pPr>
    </w:p>
    <w:p>
      <w:pPr>
        <w:spacing w:after="80"/>
      </w:pPr>
      <w:r>
        <w:rPr>
          <w:rFonts w:ascii="Arial" w:cs="Arial" w:eastAsia="Arial" w:hAnsi="Arial"/>
          <w:color w:val="1A1A1A"/>
          <w:sz w:val="20"/>
          <w:szCs w:val="20"/>
        </w:rPr>
        <w:t xml:space="preserve">The following 8 risks carry the highest risk scores (15-25) and require immediate remediation. These represent the greatest threat to PayFlow's operations, customer data, and regulatory standing.</w:t>
      </w:r>
    </w:p>
    <w:p>
      <w:pPr>
        <w:spacing w:after="80"/>
      </w:pPr>
    </w:p>
    <w:p>
      <w:pPr>
        <w:pStyle w:val="Heading2"/>
        <w:spacing w:after="60" w:before="220"/>
      </w:pPr>
      <w:r>
        <w:rPr>
          <w:rFonts w:ascii="Arial" w:cs="Arial" w:eastAsia="Arial" w:hAnsi="Arial"/>
          <w:b/>
          <w:bCs/>
          <w:color w:val="1F3864"/>
          <w:sz w:val="22"/>
          <w:szCs w:val="22"/>
        </w:rPr>
        <w:t xml:space="preserve">R-001 — Ransomware attack encrypting payment processing systems</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Cybersecurity</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5 x 5 = 25 (Critical)</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Department</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External threat actor</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Insufficient endpoint protection and backup testing</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Deploy EDR solution across all endpoints.</w:t>
      </w:r>
    </w:p>
    <w:p>
      <w:pPr>
        <w:pStyle w:val="ListParagraph"/>
        <w:numPr>
          <w:ilvl w:val="0"/>
          <w:numId w:val="2"/>
        </w:numPr>
        <w:spacing w:after="60"/>
      </w:pPr>
      <w:r>
        <w:rPr>
          <w:rFonts w:ascii="Arial" w:cs="Arial" w:eastAsia="Arial" w:hAnsi="Arial"/>
          <w:color w:val="1A1A1A"/>
          <w:sz w:val="20"/>
          <w:szCs w:val="20"/>
        </w:rPr>
        <w:t xml:space="preserve">Test backup restore procedures monthly.</w:t>
      </w:r>
    </w:p>
    <w:p>
      <w:pPr>
        <w:pStyle w:val="ListParagraph"/>
        <w:numPr>
          <w:ilvl w:val="0"/>
          <w:numId w:val="2"/>
        </w:numPr>
        <w:spacing w:after="60"/>
      </w:pPr>
      <w:r>
        <w:rPr>
          <w:rFonts w:ascii="Arial" w:cs="Arial" w:eastAsia="Arial" w:hAnsi="Arial"/>
          <w:color w:val="1A1A1A"/>
          <w:sz w:val="20"/>
          <w:szCs w:val="20"/>
        </w:rPr>
        <w:t xml:space="preserve">Implement network segmentation to isolate payment processing systems from general office network.</w:t>
      </w:r>
    </w:p>
    <w:p>
      <w:pPr>
        <w:pStyle w:val="ListParagraph"/>
        <w:numPr>
          <w:ilvl w:val="0"/>
          <w:numId w:val="2"/>
        </w:numPr>
        <w:spacing w:after="60"/>
      </w:pPr>
      <w:r>
        <w:rPr>
          <w:rFonts w:ascii="Arial" w:cs="Arial" w:eastAsia="Arial" w:hAnsi="Arial"/>
          <w:color w:val="1A1A1A"/>
          <w:sz w:val="20"/>
          <w:szCs w:val="20"/>
        </w:rPr>
        <w:t xml:space="preserve">Conduct ransomware tabletop exercise with incident response team.</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R-002 — Phishing attack leading to credential compromise</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Cybersecurity</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5 x 4 = 20 (Critical)</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Department</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External threat actor / social engineering</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email filtering or security awareness training in place</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Deploy email filtering with attachment and link scanning.</w:t>
      </w:r>
    </w:p>
    <w:p>
      <w:pPr>
        <w:pStyle w:val="ListParagraph"/>
        <w:numPr>
          <w:ilvl w:val="0"/>
          <w:numId w:val="2"/>
        </w:numPr>
        <w:spacing w:after="60"/>
      </w:pPr>
      <w:r>
        <w:rPr>
          <w:rFonts w:ascii="Arial" w:cs="Arial" w:eastAsia="Arial" w:hAnsi="Arial"/>
          <w:color w:val="1A1A1A"/>
          <w:sz w:val="20"/>
          <w:szCs w:val="20"/>
        </w:rPr>
        <w:t xml:space="preserve">Launch quarterly phishing simulation programme for all staff.</w:t>
      </w:r>
    </w:p>
    <w:p>
      <w:pPr>
        <w:pStyle w:val="ListParagraph"/>
        <w:numPr>
          <w:ilvl w:val="0"/>
          <w:numId w:val="2"/>
        </w:numPr>
        <w:spacing w:after="60"/>
      </w:pPr>
      <w:r>
        <w:rPr>
          <w:rFonts w:ascii="Arial" w:cs="Arial" w:eastAsia="Arial" w:hAnsi="Arial"/>
          <w:color w:val="1A1A1A"/>
          <w:sz w:val="20"/>
          <w:szCs w:val="20"/>
        </w:rPr>
        <w:t xml:space="preserve">Enforce MFA on all accounts immediately.</w:t>
      </w:r>
    </w:p>
    <w:p>
      <w:pPr>
        <w:pStyle w:val="ListParagraph"/>
        <w:numPr>
          <w:ilvl w:val="0"/>
          <w:numId w:val="2"/>
        </w:numPr>
        <w:spacing w:after="60"/>
      </w:pPr>
      <w:r>
        <w:rPr>
          <w:rFonts w:ascii="Arial" w:cs="Arial" w:eastAsia="Arial" w:hAnsi="Arial"/>
          <w:color w:val="1A1A1A"/>
          <w:sz w:val="20"/>
          <w:szCs w:val="20"/>
        </w:rPr>
        <w:t xml:space="preserve">Track phishing simulation results and provide targeted retraining for staff who fail.</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R-003 — SQL injection attack on payment processing API</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Cybersecurity</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4 x 5 = 20 (Critical)</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Engineering Lead</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External threat actor / automated scanning</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SAST or penetration testing conducted to date</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Engage a qualified third-party penetration testing provider and conduct an annual penetration test.</w:t>
      </w:r>
    </w:p>
    <w:p>
      <w:pPr>
        <w:pStyle w:val="ListParagraph"/>
        <w:numPr>
          <w:ilvl w:val="0"/>
          <w:numId w:val="2"/>
        </w:numPr>
        <w:spacing w:after="60"/>
      </w:pPr>
      <w:r>
        <w:rPr>
          <w:rFonts w:ascii="Arial" w:cs="Arial" w:eastAsia="Arial" w:hAnsi="Arial"/>
          <w:color w:val="1A1A1A"/>
          <w:sz w:val="20"/>
          <w:szCs w:val="20"/>
        </w:rPr>
        <w:t xml:space="preserve">Implement Static Application Security Testing (SAST) in the CI/CD pipeline.</w:t>
      </w:r>
    </w:p>
    <w:p>
      <w:pPr>
        <w:pStyle w:val="ListParagraph"/>
        <w:numPr>
          <w:ilvl w:val="0"/>
          <w:numId w:val="2"/>
        </w:numPr>
        <w:spacing w:after="60"/>
      </w:pPr>
      <w:r>
        <w:rPr>
          <w:rFonts w:ascii="Arial" w:cs="Arial" w:eastAsia="Arial" w:hAnsi="Arial"/>
          <w:color w:val="1A1A1A"/>
          <w:sz w:val="20"/>
          <w:szCs w:val="20"/>
        </w:rPr>
        <w:t xml:space="preserve">Enforce OWASP Top 10 compliance across all application code.</w:t>
      </w:r>
    </w:p>
    <w:p>
      <w:pPr>
        <w:pStyle w:val="ListParagraph"/>
        <w:numPr>
          <w:ilvl w:val="0"/>
          <w:numId w:val="2"/>
        </w:numPr>
        <w:spacing w:after="60"/>
      </w:pPr>
      <w:r>
        <w:rPr>
          <w:rFonts w:ascii="Arial" w:cs="Arial" w:eastAsia="Arial" w:hAnsi="Arial"/>
          <w:color w:val="1A1A1A"/>
          <w:sz w:val="20"/>
          <w:szCs w:val="20"/>
        </w:rPr>
        <w:t xml:space="preserve">Remediate all critical and high findings before production deployment.</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R-004 — Unauthorised access to customer payment data via stolen credentials</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Cybersecurity</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4 x 5 = 20 (Critical)</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Department</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External or insider threat</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MFA not enforced on all systems; access reviews not conducted quarterly</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Enforce MFA on all cloud systems, remote access, and privileged accounts immediately.</w:t>
      </w:r>
    </w:p>
    <w:p>
      <w:pPr>
        <w:pStyle w:val="ListParagraph"/>
        <w:numPr>
          <w:ilvl w:val="0"/>
          <w:numId w:val="2"/>
        </w:numPr>
        <w:spacing w:after="60"/>
      </w:pPr>
      <w:r>
        <w:rPr>
          <w:rFonts w:ascii="Arial" w:cs="Arial" w:eastAsia="Arial" w:hAnsi="Arial"/>
          <w:color w:val="1A1A1A"/>
          <w:sz w:val="20"/>
          <w:szCs w:val="20"/>
        </w:rPr>
        <w:t xml:space="preserve">Implement role-based access control (RBAC) across all applications.</w:t>
      </w:r>
    </w:p>
    <w:p>
      <w:pPr>
        <w:pStyle w:val="ListParagraph"/>
        <w:numPr>
          <w:ilvl w:val="0"/>
          <w:numId w:val="2"/>
        </w:numPr>
        <w:spacing w:after="60"/>
      </w:pPr>
      <w:r>
        <w:rPr>
          <w:rFonts w:ascii="Arial" w:cs="Arial" w:eastAsia="Arial" w:hAnsi="Arial"/>
          <w:color w:val="1A1A1A"/>
          <w:sz w:val="20"/>
          <w:szCs w:val="20"/>
        </w:rPr>
        <w:t xml:space="preserve">Conduct quarterly access reviews — revoke access for leavers within 24 hours.</w:t>
      </w:r>
    </w:p>
    <w:p>
      <w:pPr>
        <w:pStyle w:val="ListParagraph"/>
        <w:numPr>
          <w:ilvl w:val="0"/>
          <w:numId w:val="2"/>
        </w:numPr>
        <w:spacing w:after="60"/>
      </w:pPr>
      <w:r>
        <w:rPr>
          <w:rFonts w:ascii="Arial" w:cs="Arial" w:eastAsia="Arial" w:hAnsi="Arial"/>
          <w:color w:val="1A1A1A"/>
          <w:sz w:val="20"/>
          <w:szCs w:val="20"/>
        </w:rPr>
        <w:t xml:space="preserve">Log all access to customer payment data.</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R-010 — GDPR enforcement action due to inadequate data protection practices</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Compliance &amp; Regulatory</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4 x 5 = 20 (Critical)</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Legal / DPO</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Regulatory / Data Protection Commission</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formal GDPR compliance programme; DPO not yet appointed</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Appoint a Data Protection Officer (DPO).</w:t>
      </w:r>
    </w:p>
    <w:p>
      <w:pPr>
        <w:pStyle w:val="ListParagraph"/>
        <w:numPr>
          <w:ilvl w:val="0"/>
          <w:numId w:val="2"/>
        </w:numPr>
        <w:spacing w:after="60"/>
      </w:pPr>
      <w:r>
        <w:rPr>
          <w:rFonts w:ascii="Arial" w:cs="Arial" w:eastAsia="Arial" w:hAnsi="Arial"/>
          <w:color w:val="1A1A1A"/>
          <w:sz w:val="20"/>
          <w:szCs w:val="20"/>
        </w:rPr>
        <w:t xml:space="preserve">Conduct a comprehensive GDPR gap analysis across all data processing activities.</w:t>
      </w:r>
    </w:p>
    <w:p>
      <w:pPr>
        <w:pStyle w:val="ListParagraph"/>
        <w:numPr>
          <w:ilvl w:val="0"/>
          <w:numId w:val="2"/>
        </w:numPr>
        <w:spacing w:after="60"/>
      </w:pPr>
      <w:r>
        <w:rPr>
          <w:rFonts w:ascii="Arial" w:cs="Arial" w:eastAsia="Arial" w:hAnsi="Arial"/>
          <w:color w:val="1A1A1A"/>
          <w:sz w:val="20"/>
          <w:szCs w:val="20"/>
        </w:rPr>
        <w:t xml:space="preserve">Implement data protection policies covering lawful basis for processing, data subject rights, and breach notification procedures.</w:t>
      </w:r>
    </w:p>
    <w:p>
      <w:pPr>
        <w:pStyle w:val="ListParagraph"/>
        <w:numPr>
          <w:ilvl w:val="0"/>
          <w:numId w:val="2"/>
        </w:numPr>
        <w:spacing w:after="60"/>
      </w:pPr>
      <w:r>
        <w:rPr>
          <w:rFonts w:ascii="Arial" w:cs="Arial" w:eastAsia="Arial" w:hAnsi="Arial"/>
          <w:color w:val="1A1A1A"/>
          <w:sz w:val="20"/>
          <w:szCs w:val="20"/>
        </w:rPr>
        <w:t xml:space="preserve">Establish a Record of Processing Activities (ROPA) as required under GDPR Article 30.</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R-011 — PCI-DSS non-compliance leading to loss of card processing rights</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Compliance &amp; Regulatory</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4 x 5 = 20 (Critical)</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 Legal</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Regulatory / Payment card schemes</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PCI-DSS assessment not yet conducted; cardholder data environment not formally scoped</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Engage a Qualified Security Assessor (QSA) to conduct a PCI-DSS gap assessment.</w:t>
      </w:r>
    </w:p>
    <w:p>
      <w:pPr>
        <w:pStyle w:val="ListParagraph"/>
        <w:numPr>
          <w:ilvl w:val="0"/>
          <w:numId w:val="2"/>
        </w:numPr>
        <w:spacing w:after="60"/>
      </w:pPr>
      <w:r>
        <w:rPr>
          <w:rFonts w:ascii="Arial" w:cs="Arial" w:eastAsia="Arial" w:hAnsi="Arial"/>
          <w:color w:val="1A1A1A"/>
          <w:sz w:val="20"/>
          <w:szCs w:val="20"/>
        </w:rPr>
        <w:t xml:space="preserve">Formally scope the cardholder data environment (CDE).</w:t>
      </w:r>
    </w:p>
    <w:p>
      <w:pPr>
        <w:pStyle w:val="ListParagraph"/>
        <w:numPr>
          <w:ilvl w:val="0"/>
          <w:numId w:val="2"/>
        </w:numPr>
        <w:spacing w:after="60"/>
      </w:pPr>
      <w:r>
        <w:rPr>
          <w:rFonts w:ascii="Arial" w:cs="Arial" w:eastAsia="Arial" w:hAnsi="Arial"/>
          <w:color w:val="1A1A1A"/>
          <w:sz w:val="20"/>
          <w:szCs w:val="20"/>
        </w:rPr>
        <w:t xml:space="preserve">Remediate all identified gaps — prioritise encryption, access control, and logging requirements.</w:t>
      </w:r>
    </w:p>
    <w:p>
      <w:pPr>
        <w:pStyle w:val="ListParagraph"/>
        <w:numPr>
          <w:ilvl w:val="0"/>
          <w:numId w:val="2"/>
        </w:numPr>
        <w:spacing w:after="60"/>
      </w:pPr>
      <w:r>
        <w:rPr>
          <w:rFonts w:ascii="Arial" w:cs="Arial" w:eastAsia="Arial" w:hAnsi="Arial"/>
          <w:color w:val="1A1A1A"/>
          <w:sz w:val="20"/>
          <w:szCs w:val="20"/>
        </w:rPr>
        <w:t xml:space="preserve">Achieve PCI-DSS certification before processing any card payments.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R-014 — Third-party payment processor suffers a data breach exposing PayFlow customer data</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Third-Party / Vendor</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4 x 5 = 20 (Critical)</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Legal / ISO Officer</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Vendor security failure</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vendor security assessments conducted; no security clauses in contracts</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Conduct formal vendor risk assessments for all tier-1 suppliers before onboarding.</w:t>
      </w:r>
    </w:p>
    <w:p>
      <w:pPr>
        <w:pStyle w:val="ListParagraph"/>
        <w:numPr>
          <w:ilvl w:val="0"/>
          <w:numId w:val="2"/>
        </w:numPr>
        <w:spacing w:after="60"/>
      </w:pPr>
      <w:r>
        <w:rPr>
          <w:rFonts w:ascii="Arial" w:cs="Arial" w:eastAsia="Arial" w:hAnsi="Arial"/>
          <w:color w:val="1A1A1A"/>
          <w:sz w:val="20"/>
          <w:szCs w:val="20"/>
        </w:rPr>
        <w:t xml:space="preserve">Include security clauses, breach notification requirements (within 24 hours), data handling obligations, and right-to-audit provisions in all vendor contracts.</w:t>
      </w:r>
    </w:p>
    <w:p>
      <w:pPr>
        <w:pStyle w:val="ListParagraph"/>
        <w:numPr>
          <w:ilvl w:val="0"/>
          <w:numId w:val="2"/>
        </w:numPr>
        <w:spacing w:after="60"/>
      </w:pPr>
      <w:r>
        <w:rPr>
          <w:rFonts w:ascii="Arial" w:cs="Arial" w:eastAsia="Arial" w:hAnsi="Arial"/>
          <w:color w:val="1A1A1A"/>
          <w:sz w:val="20"/>
          <w:szCs w:val="20"/>
        </w:rPr>
        <w:t xml:space="preserve">Review vendor SOC 2 or ISO 27001 reports annually.</w:t>
      </w:r>
    </w:p>
    <w:p>
      <w:pPr>
        <w:pStyle w:val="ListParagraph"/>
        <w:numPr>
          <w:ilvl w:val="0"/>
          <w:numId w:val="2"/>
        </w:numPr>
        <w:spacing w:after="60"/>
      </w:pPr>
      <w:r>
        <w:rPr>
          <w:rFonts w:ascii="Arial" w:cs="Arial" w:eastAsia="Arial" w:hAnsi="Arial"/>
          <w:color w:val="1A1A1A"/>
          <w:sz w:val="20"/>
          <w:szCs w:val="20"/>
        </w:rPr>
        <w:t xml:space="preserve">Maintain a vendor risk register.</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R-021 — Payment fraud resulting in significant financial loss to PayFlow or its merchants</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Financial</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4 x 5 = 20 (Critical)</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 Finance</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Fraudulent transactions / external threat</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fraud detection system in place; no transaction monitoring</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Implement real-time transaction monitoring and fraud detection system with automated alerting.</w:t>
      </w:r>
    </w:p>
    <w:p>
      <w:pPr>
        <w:pStyle w:val="ListParagraph"/>
        <w:numPr>
          <w:ilvl w:val="0"/>
          <w:numId w:val="2"/>
        </w:numPr>
        <w:spacing w:after="60"/>
      </w:pPr>
      <w:r>
        <w:rPr>
          <w:rFonts w:ascii="Arial" w:cs="Arial" w:eastAsia="Arial" w:hAnsi="Arial"/>
          <w:color w:val="1A1A1A"/>
          <w:sz w:val="20"/>
          <w:szCs w:val="20"/>
        </w:rPr>
        <w:t xml:space="preserve">Define chargeback management procedures.</w:t>
      </w:r>
    </w:p>
    <w:p>
      <w:pPr>
        <w:pStyle w:val="ListParagraph"/>
        <w:numPr>
          <w:ilvl w:val="0"/>
          <w:numId w:val="2"/>
        </w:numPr>
        <w:spacing w:after="60"/>
      </w:pPr>
      <w:r>
        <w:rPr>
          <w:rFonts w:ascii="Arial" w:cs="Arial" w:eastAsia="Arial" w:hAnsi="Arial"/>
          <w:color w:val="1A1A1A"/>
          <w:sz w:val="20"/>
          <w:szCs w:val="20"/>
        </w:rPr>
        <w:t xml:space="preserve">Establish fraud thresholds — transactions exceeding thresholds require manual review.</w:t>
      </w:r>
    </w:p>
    <w:p>
      <w:pPr>
        <w:pStyle w:val="ListParagraph"/>
        <w:numPr>
          <w:ilvl w:val="0"/>
          <w:numId w:val="2"/>
        </w:numPr>
        <w:spacing w:after="60"/>
      </w:pPr>
      <w:r>
        <w:rPr>
          <w:rFonts w:ascii="Arial" w:cs="Arial" w:eastAsia="Arial" w:hAnsi="Arial"/>
          <w:color w:val="1A1A1A"/>
          <w:sz w:val="20"/>
          <w:szCs w:val="20"/>
        </w:rPr>
        <w:t xml:space="preserve">Conduct monthly fraud trend analysis and report to senior management.</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r>
        <w:br w:type="page"/>
      </w:r>
    </w:p>
    <w:p>
      <w:pPr>
        <w:pStyle w:val="Heading1"/>
        <w:spacing w:after="80" w:before="320"/>
      </w:pPr>
      <w:r>
        <w:rPr>
          <w:rFonts w:ascii="Arial" w:cs="Arial" w:eastAsia="Arial" w:hAnsi="Arial"/>
          <w:b/>
          <w:bCs/>
          <w:caps/>
          <w:color w:val="1F3864"/>
          <w:sz w:val="26"/>
          <w:szCs w:val="26"/>
        </w:rPr>
        <w:t xml:space="preserve">High Priority Remediations</w:t>
      </w:r>
    </w:p>
    <w:p>
      <w:pPr>
        <w:pBdr>
          <w:bottom w:val="single" w:color="1F3864" w:sz="8" w:space="1"/>
        </w:pBdr>
        <w:spacing w:after="120"/>
      </w:pPr>
    </w:p>
    <w:p>
      <w:pPr>
        <w:spacing w:after="80"/>
      </w:pPr>
      <w:r>
        <w:rPr>
          <w:rFonts w:ascii="Arial" w:cs="Arial" w:eastAsia="Arial" w:hAnsi="Arial"/>
          <w:color w:val="1A1A1A"/>
          <w:sz w:val="20"/>
          <w:szCs w:val="20"/>
        </w:rPr>
        <w:t xml:space="preserve">The following 16 risks carry high risk scores (8-14) and must be remediated within 90 days. While not as immediately critical, these gaps represent significant exposure if left unaddressed.</w:t>
      </w:r>
    </w:p>
    <w:p>
      <w:pPr>
        <w:spacing w:after="80"/>
      </w:pPr>
    </w:p>
    <w:p>
      <w:pPr>
        <w:pStyle w:val="Heading2"/>
        <w:spacing w:after="60" w:before="220"/>
      </w:pPr>
      <w:r>
        <w:rPr>
          <w:rFonts w:ascii="Arial" w:cs="Arial" w:eastAsia="Arial" w:hAnsi="Arial"/>
          <w:b/>
          <w:bCs/>
          <w:color w:val="1F3864"/>
          <w:sz w:val="22"/>
          <w:szCs w:val="22"/>
        </w:rPr>
        <w:t xml:space="preserve">R-005 — DDoS attack causing platform unavailability</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Cybersecurity</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4 = 12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Department</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External threat actor</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DDoS mitigation service in place; single-region AWS deployment</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Implement AWS Shield Standard for DDoS protection.</w:t>
      </w:r>
    </w:p>
    <w:p>
      <w:pPr>
        <w:pStyle w:val="ListParagraph"/>
        <w:numPr>
          <w:ilvl w:val="0"/>
          <w:numId w:val="2"/>
        </w:numPr>
        <w:spacing w:after="60"/>
      </w:pPr>
      <w:r>
        <w:rPr>
          <w:rFonts w:ascii="Arial" w:cs="Arial" w:eastAsia="Arial" w:hAnsi="Arial"/>
          <w:color w:val="1A1A1A"/>
          <w:sz w:val="20"/>
          <w:szCs w:val="20"/>
        </w:rPr>
        <w:t xml:space="preserve">Configure auto-scaling for critical production systems to handle traffic spikes.</w:t>
      </w:r>
    </w:p>
    <w:p>
      <w:pPr>
        <w:pStyle w:val="ListParagraph"/>
        <w:numPr>
          <w:ilvl w:val="0"/>
          <w:numId w:val="2"/>
        </w:numPr>
        <w:spacing w:after="60"/>
      </w:pPr>
      <w:r>
        <w:rPr>
          <w:rFonts w:ascii="Arial" w:cs="Arial" w:eastAsia="Arial" w:hAnsi="Arial"/>
          <w:color w:val="1A1A1A"/>
          <w:sz w:val="20"/>
          <w:szCs w:val="20"/>
        </w:rPr>
        <w:t xml:space="preserve">Deploy to multiple AWS availability zones for redundancy.</w:t>
      </w:r>
    </w:p>
    <w:p>
      <w:pPr>
        <w:pStyle w:val="ListParagraph"/>
        <w:numPr>
          <w:ilvl w:val="0"/>
          <w:numId w:val="2"/>
        </w:numPr>
        <w:spacing w:after="60"/>
      </w:pPr>
      <w:r>
        <w:rPr>
          <w:rFonts w:ascii="Arial" w:cs="Arial" w:eastAsia="Arial" w:hAnsi="Arial"/>
          <w:color w:val="1A1A1A"/>
          <w:sz w:val="20"/>
          <w:szCs w:val="20"/>
        </w:rPr>
        <w:t xml:space="preserve">Establish a DDoS response procedure.</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Q2 2026</w:t>
      </w:r>
    </w:p>
    <w:p>
      <w:pPr>
        <w:spacing w:after="80"/>
      </w:pPr>
    </w:p>
    <w:p>
      <w:pPr>
        <w:pStyle w:val="Heading2"/>
        <w:spacing w:after="60" w:before="220"/>
      </w:pPr>
      <w:r>
        <w:rPr>
          <w:rFonts w:ascii="Arial" w:cs="Arial" w:eastAsia="Arial" w:hAnsi="Arial"/>
          <w:b/>
          <w:bCs/>
          <w:color w:val="1F3864"/>
          <w:sz w:val="22"/>
          <w:szCs w:val="22"/>
        </w:rPr>
        <w:t xml:space="preserve">R-006 — System outage due to single point of failure in AWS infrastructure</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Operational</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5 = 15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Department</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Infrastructure failure</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multi-region deployment; RTO and RPO not formally defined</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Deploy critical systems across multiple AWS availability zones.</w:t>
      </w:r>
    </w:p>
    <w:p>
      <w:pPr>
        <w:pStyle w:val="ListParagraph"/>
        <w:numPr>
          <w:ilvl w:val="0"/>
          <w:numId w:val="2"/>
        </w:numPr>
        <w:spacing w:after="60"/>
      </w:pPr>
      <w:r>
        <w:rPr>
          <w:rFonts w:ascii="Arial" w:cs="Arial" w:eastAsia="Arial" w:hAnsi="Arial"/>
          <w:color w:val="1A1A1A"/>
          <w:sz w:val="20"/>
          <w:szCs w:val="20"/>
        </w:rPr>
        <w:t xml:space="preserve">Define and document Recovery Time Objective (RTO) of 4 hours and Recovery Point Objective (RPO) of 24 hours.</w:t>
      </w:r>
    </w:p>
    <w:p>
      <w:pPr>
        <w:pStyle w:val="ListParagraph"/>
        <w:numPr>
          <w:ilvl w:val="0"/>
          <w:numId w:val="2"/>
        </w:numPr>
        <w:spacing w:after="60"/>
      </w:pPr>
      <w:r>
        <w:rPr>
          <w:rFonts w:ascii="Arial" w:cs="Arial" w:eastAsia="Arial" w:hAnsi="Arial"/>
          <w:color w:val="1A1A1A"/>
          <w:sz w:val="20"/>
          <w:szCs w:val="20"/>
        </w:rPr>
        <w:t xml:space="preserve">Conduct semi-annual failover testing exercises.</w:t>
      </w:r>
    </w:p>
    <w:p>
      <w:pPr>
        <w:pStyle w:val="ListParagraph"/>
        <w:numPr>
          <w:ilvl w:val="0"/>
          <w:numId w:val="2"/>
        </w:numPr>
        <w:spacing w:after="60"/>
      </w:pPr>
      <w:r>
        <w:rPr>
          <w:rFonts w:ascii="Arial" w:cs="Arial" w:eastAsia="Arial" w:hAnsi="Arial"/>
          <w:color w:val="1A1A1A"/>
          <w:sz w:val="20"/>
          <w:szCs w:val="20"/>
        </w:rPr>
        <w:t xml:space="preserve">Monitor AWS Service Health Dashboard continuously.</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R-007 — Data loss due to backup failure</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Operational</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5 = 15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Department</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Technical failure</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Backups not tested regularly; no off-site backup storage</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Implement automated daily encrypted backups to a separate AWS region.</w:t>
      </w:r>
    </w:p>
    <w:p>
      <w:pPr>
        <w:pStyle w:val="ListParagraph"/>
        <w:numPr>
          <w:ilvl w:val="0"/>
          <w:numId w:val="2"/>
        </w:numPr>
        <w:spacing w:after="60"/>
      </w:pPr>
      <w:r>
        <w:rPr>
          <w:rFonts w:ascii="Arial" w:cs="Arial" w:eastAsia="Arial" w:hAnsi="Arial"/>
          <w:color w:val="1A1A1A"/>
          <w:sz w:val="20"/>
          <w:szCs w:val="20"/>
        </w:rPr>
        <w:t xml:space="preserve">Test restore procedures monthly and document results.</w:t>
      </w:r>
    </w:p>
    <w:p>
      <w:pPr>
        <w:pStyle w:val="ListParagraph"/>
        <w:numPr>
          <w:ilvl w:val="0"/>
          <w:numId w:val="2"/>
        </w:numPr>
        <w:spacing w:after="60"/>
      </w:pPr>
      <w:r>
        <w:rPr>
          <w:rFonts w:ascii="Arial" w:cs="Arial" w:eastAsia="Arial" w:hAnsi="Arial"/>
          <w:color w:val="1A1A1A"/>
          <w:sz w:val="20"/>
          <w:szCs w:val="20"/>
        </w:rPr>
        <w:t xml:space="preserve">Retain backup logs for audit purposes.</w:t>
      </w:r>
    </w:p>
    <w:p>
      <w:pPr>
        <w:pStyle w:val="ListParagraph"/>
        <w:numPr>
          <w:ilvl w:val="0"/>
          <w:numId w:val="2"/>
        </w:numPr>
        <w:spacing w:after="60"/>
      </w:pPr>
      <w:r>
        <w:rPr>
          <w:rFonts w:ascii="Arial" w:cs="Arial" w:eastAsia="Arial" w:hAnsi="Arial"/>
          <w:color w:val="1A1A1A"/>
          <w:sz w:val="20"/>
          <w:szCs w:val="20"/>
        </w:rPr>
        <w:t xml:space="preserve">Define backup retention periods per data category.</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R-012 — PSD2 non-compliance — failure to implement Strong Customer Authentication</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Compliance &amp; Regulatory</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5 = 15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Engineering Lead</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Regulatory / Central Bank of Ireland</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SCA not fully implemented across all payment flows</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Implement Strong Customer Authentication (SCA) across all payment flows.</w:t>
      </w:r>
    </w:p>
    <w:p>
      <w:pPr>
        <w:pStyle w:val="ListParagraph"/>
        <w:numPr>
          <w:ilvl w:val="0"/>
          <w:numId w:val="2"/>
        </w:numPr>
        <w:spacing w:after="60"/>
      </w:pPr>
      <w:r>
        <w:rPr>
          <w:rFonts w:ascii="Arial" w:cs="Arial" w:eastAsia="Arial" w:hAnsi="Arial"/>
          <w:color w:val="1A1A1A"/>
          <w:sz w:val="20"/>
          <w:szCs w:val="20"/>
        </w:rPr>
        <w:t xml:space="preserve">Engage legal counsel to verify full PSD2 compliance.</w:t>
      </w:r>
    </w:p>
    <w:p>
      <w:pPr>
        <w:pStyle w:val="ListParagraph"/>
        <w:numPr>
          <w:ilvl w:val="0"/>
          <w:numId w:val="2"/>
        </w:numPr>
        <w:spacing w:after="60"/>
      </w:pPr>
      <w:r>
        <w:rPr>
          <w:rFonts w:ascii="Arial" w:cs="Arial" w:eastAsia="Arial" w:hAnsi="Arial"/>
          <w:color w:val="1A1A1A"/>
          <w:sz w:val="20"/>
          <w:szCs w:val="20"/>
        </w:rPr>
        <w:t xml:space="preserve">Document compliance evidence for potential Central Bank audit.</w:t>
      </w:r>
    </w:p>
    <w:p>
      <w:pPr>
        <w:pStyle w:val="ListParagraph"/>
        <w:numPr>
          <w:ilvl w:val="0"/>
          <w:numId w:val="2"/>
        </w:numPr>
        <w:spacing w:after="60"/>
      </w:pPr>
      <w:r>
        <w:rPr>
          <w:rFonts w:ascii="Arial" w:cs="Arial" w:eastAsia="Arial" w:hAnsi="Arial"/>
          <w:color w:val="1A1A1A"/>
          <w:sz w:val="20"/>
          <w:szCs w:val="20"/>
        </w:rPr>
        <w:t xml:space="preserve">Maintain records of all SCA exemption decisions.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Q2 2026</w:t>
      </w:r>
    </w:p>
    <w:p>
      <w:pPr>
        <w:spacing w:after="80"/>
      </w:pPr>
    </w:p>
    <w:p>
      <w:pPr>
        <w:pStyle w:val="Heading2"/>
        <w:spacing w:after="60" w:before="220"/>
      </w:pPr>
      <w:r>
        <w:rPr>
          <w:rFonts w:ascii="Arial" w:cs="Arial" w:eastAsia="Arial" w:hAnsi="Arial"/>
          <w:b/>
          <w:bCs/>
          <w:color w:val="1F3864"/>
          <w:sz w:val="22"/>
          <w:szCs w:val="22"/>
        </w:rPr>
        <w:t xml:space="preserve">R-015 — AWS service outage causing platform unavailability</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Third-Party / Vendor</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5 = 15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Department</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Cloud provider failure</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multi-region failover; over-reliance on single AWS region</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Configure multi-region AWS deployment with automated failover for critical systems.</w:t>
      </w:r>
    </w:p>
    <w:p>
      <w:pPr>
        <w:pStyle w:val="ListParagraph"/>
        <w:numPr>
          <w:ilvl w:val="0"/>
          <w:numId w:val="2"/>
        </w:numPr>
        <w:spacing w:after="60"/>
      </w:pPr>
      <w:r>
        <w:rPr>
          <w:rFonts w:ascii="Arial" w:cs="Arial" w:eastAsia="Arial" w:hAnsi="Arial"/>
          <w:color w:val="1A1A1A"/>
          <w:sz w:val="20"/>
          <w:szCs w:val="20"/>
        </w:rPr>
        <w:t xml:space="preserve">Review AWS SLA terms and shared responsibility model.</w:t>
      </w:r>
    </w:p>
    <w:p>
      <w:pPr>
        <w:pStyle w:val="ListParagraph"/>
        <w:numPr>
          <w:ilvl w:val="0"/>
          <w:numId w:val="2"/>
        </w:numPr>
        <w:spacing w:after="60"/>
      </w:pPr>
      <w:r>
        <w:rPr>
          <w:rFonts w:ascii="Arial" w:cs="Arial" w:eastAsia="Arial" w:hAnsi="Arial"/>
          <w:color w:val="1A1A1A"/>
          <w:sz w:val="20"/>
          <w:szCs w:val="20"/>
        </w:rPr>
        <w:t xml:space="preserve">Implement automated health monitoring and alerting for AWS service status changes.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Q2 2026</w:t>
      </w:r>
    </w:p>
    <w:p>
      <w:pPr>
        <w:spacing w:after="80"/>
      </w:pPr>
    </w:p>
    <w:p>
      <w:pPr>
        <w:pStyle w:val="Heading2"/>
        <w:spacing w:after="60" w:before="220"/>
      </w:pPr>
      <w:r>
        <w:rPr>
          <w:rFonts w:ascii="Arial" w:cs="Arial" w:eastAsia="Arial" w:hAnsi="Arial"/>
          <w:b/>
          <w:bCs/>
          <w:color w:val="1F3864"/>
          <w:sz w:val="22"/>
          <w:szCs w:val="22"/>
        </w:rPr>
        <w:t xml:space="preserve">R-025 — Insider threat — disgruntled employee deliberately exfiltrates customer payment data</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People / Human</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5 = 15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 HR</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Malicious insider</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DLP controls; no user behaviour monitoring; access reviews not conducted</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Implement Data Loss Prevention (DLP) tooling to detect and prevent unauthorised data transfers.</w:t>
      </w:r>
    </w:p>
    <w:p>
      <w:pPr>
        <w:pStyle w:val="ListParagraph"/>
        <w:numPr>
          <w:ilvl w:val="0"/>
          <w:numId w:val="2"/>
        </w:numPr>
        <w:spacing w:after="60"/>
      </w:pPr>
      <w:r>
        <w:rPr>
          <w:rFonts w:ascii="Arial" w:cs="Arial" w:eastAsia="Arial" w:hAnsi="Arial"/>
          <w:color w:val="1A1A1A"/>
          <w:sz w:val="20"/>
          <w:szCs w:val="20"/>
        </w:rPr>
        <w:t xml:space="preserve">Conduct quarterly access reviews for all staff.</w:t>
      </w:r>
    </w:p>
    <w:p>
      <w:pPr>
        <w:pStyle w:val="ListParagraph"/>
        <w:numPr>
          <w:ilvl w:val="0"/>
          <w:numId w:val="2"/>
        </w:numPr>
        <w:spacing w:after="60"/>
      </w:pPr>
      <w:r>
        <w:rPr>
          <w:rFonts w:ascii="Arial" w:cs="Arial" w:eastAsia="Arial" w:hAnsi="Arial"/>
          <w:color w:val="1A1A1A"/>
          <w:sz w:val="20"/>
          <w:szCs w:val="20"/>
        </w:rPr>
        <w:t xml:space="preserve">Monitor privileged user activity and investigate anomalies.</w:t>
      </w:r>
    </w:p>
    <w:p>
      <w:pPr>
        <w:pStyle w:val="ListParagraph"/>
        <w:numPr>
          <w:ilvl w:val="0"/>
          <w:numId w:val="2"/>
        </w:numPr>
        <w:spacing w:after="60"/>
      </w:pPr>
      <w:r>
        <w:rPr>
          <w:rFonts w:ascii="Arial" w:cs="Arial" w:eastAsia="Arial" w:hAnsi="Arial"/>
          <w:color w:val="1A1A1A"/>
          <w:sz w:val="20"/>
          <w:szCs w:val="20"/>
        </w:rPr>
        <w:t xml:space="preserve">Implement immediate access revocation as part of employee offboarding procedures.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R-008 — Unauthorised system change causing platform instability</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Operational</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4 = 12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Department</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Internal human error</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formal change management process in place</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Implement a formal change management procedure with documented approval sign-off, risk assessment, pre-implementation testing, and rollback plans.</w:t>
      </w:r>
    </w:p>
    <w:p>
      <w:pPr>
        <w:pStyle w:val="ListParagraph"/>
        <w:numPr>
          <w:ilvl w:val="0"/>
          <w:numId w:val="2"/>
        </w:numPr>
        <w:spacing w:after="60"/>
      </w:pPr>
      <w:r>
        <w:rPr>
          <w:rFonts w:ascii="Arial" w:cs="Arial" w:eastAsia="Arial" w:hAnsi="Arial"/>
          <w:color w:val="1A1A1A"/>
          <w:sz w:val="20"/>
          <w:szCs w:val="20"/>
        </w:rPr>
        <w:t xml:space="preserve">Classify changes as Standard, Normal, or Emergency.</w:t>
      </w:r>
    </w:p>
    <w:p>
      <w:pPr>
        <w:pStyle w:val="ListParagraph"/>
        <w:numPr>
          <w:ilvl w:val="0"/>
          <w:numId w:val="2"/>
        </w:numPr>
        <w:spacing w:after="60"/>
      </w:pPr>
      <w:r>
        <w:rPr>
          <w:rFonts w:ascii="Arial" w:cs="Arial" w:eastAsia="Arial" w:hAnsi="Arial"/>
          <w:color w:val="1A1A1A"/>
          <w:sz w:val="20"/>
          <w:szCs w:val="20"/>
        </w:rPr>
        <w:t xml:space="preserve">Retain change records for a minimum of 12 months.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Q2 2026</w:t>
      </w:r>
    </w:p>
    <w:p>
      <w:pPr>
        <w:spacing w:after="80"/>
      </w:pPr>
    </w:p>
    <w:p>
      <w:pPr>
        <w:pStyle w:val="Heading2"/>
        <w:spacing w:after="60" w:before="220"/>
      </w:pPr>
      <w:r>
        <w:rPr>
          <w:rFonts w:ascii="Arial" w:cs="Arial" w:eastAsia="Arial" w:hAnsi="Arial"/>
          <w:b/>
          <w:bCs/>
          <w:color w:val="1F3864"/>
          <w:sz w:val="22"/>
          <w:szCs w:val="22"/>
        </w:rPr>
        <w:t xml:space="preserve">R-009 — Payment processing errors due to software defect in production</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Operational</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4 = 12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Engineering Lead</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Development error</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separation between development and production environments</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Enforce strict environment separation — development, testing, and production must be fully isolated on AWS.</w:t>
      </w:r>
    </w:p>
    <w:p>
      <w:pPr>
        <w:pStyle w:val="ListParagraph"/>
        <w:numPr>
          <w:ilvl w:val="0"/>
          <w:numId w:val="2"/>
        </w:numPr>
        <w:spacing w:after="60"/>
      </w:pPr>
      <w:r>
        <w:rPr>
          <w:rFonts w:ascii="Arial" w:cs="Arial" w:eastAsia="Arial" w:hAnsi="Arial"/>
          <w:color w:val="1A1A1A"/>
          <w:sz w:val="20"/>
          <w:szCs w:val="20"/>
        </w:rPr>
        <w:t xml:space="preserve">Implement a pre-production testing gate including security and functional testing before all deployments.</w:t>
      </w:r>
    </w:p>
    <w:p>
      <w:pPr>
        <w:pStyle w:val="ListParagraph"/>
        <w:numPr>
          <w:ilvl w:val="0"/>
          <w:numId w:val="2"/>
        </w:numPr>
        <w:spacing w:after="60"/>
      </w:pPr>
      <w:r>
        <w:rPr>
          <w:rFonts w:ascii="Arial" w:cs="Arial" w:eastAsia="Arial" w:hAnsi="Arial"/>
          <w:color w:val="1A1A1A"/>
          <w:sz w:val="20"/>
          <w:szCs w:val="20"/>
        </w:rPr>
        <w:t xml:space="preserve">Prohibit real customer data in non-production environments.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R-013 — Failure to notify DPC within 72 hours of a data breach</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Compliance &amp; Regulatory</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4 = 12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Legal / ISO Officer</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Regulatory / GDPR Article 33</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incident response plan or breach notification procedure in place</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Develop and document an Incident Response Plan (IRP) with a clear 72-hour GDPR breach notification procedure.</w:t>
      </w:r>
    </w:p>
    <w:p>
      <w:pPr>
        <w:pStyle w:val="ListParagraph"/>
        <w:numPr>
          <w:ilvl w:val="0"/>
          <w:numId w:val="2"/>
        </w:numPr>
        <w:spacing w:after="60"/>
      </w:pPr>
      <w:r>
        <w:rPr>
          <w:rFonts w:ascii="Arial" w:cs="Arial" w:eastAsia="Arial" w:hAnsi="Arial"/>
          <w:color w:val="1A1A1A"/>
          <w:sz w:val="20"/>
          <w:szCs w:val="20"/>
        </w:rPr>
        <w:t xml:space="preserve">Assign incident response roles and responsibilities.</w:t>
      </w:r>
    </w:p>
    <w:p>
      <w:pPr>
        <w:pStyle w:val="ListParagraph"/>
        <w:numPr>
          <w:ilvl w:val="0"/>
          <w:numId w:val="2"/>
        </w:numPr>
        <w:spacing w:after="60"/>
      </w:pPr>
      <w:r>
        <w:rPr>
          <w:rFonts w:ascii="Arial" w:cs="Arial" w:eastAsia="Arial" w:hAnsi="Arial"/>
          <w:color w:val="1A1A1A"/>
          <w:sz w:val="20"/>
          <w:szCs w:val="20"/>
        </w:rPr>
        <w:t xml:space="preserve">Conduct tabletop exercises semi-annually to test the IRP.</w:t>
      </w:r>
    </w:p>
    <w:p>
      <w:pPr>
        <w:pStyle w:val="ListParagraph"/>
        <w:numPr>
          <w:ilvl w:val="0"/>
          <w:numId w:val="2"/>
        </w:numPr>
        <w:spacing w:after="60"/>
      </w:pPr>
      <w:r>
        <w:rPr>
          <w:rFonts w:ascii="Arial" w:cs="Arial" w:eastAsia="Arial" w:hAnsi="Arial"/>
          <w:color w:val="1A1A1A"/>
          <w:sz w:val="20"/>
          <w:szCs w:val="20"/>
        </w:rPr>
        <w:t xml:space="preserve">Maintain an incident log for all reported events.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R-016 — Third-party software library vulnerability exploited in PayFlow application</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Third-Party / Vendor</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4 x 4 = 16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Engineering Lead</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Supply chain attack</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software composition analysis conducted on third-party libraries</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Implement Software Composition Analysis (SCA) tooling in the CI/CD pipeline.</w:t>
      </w:r>
    </w:p>
    <w:p>
      <w:pPr>
        <w:pStyle w:val="ListParagraph"/>
        <w:numPr>
          <w:ilvl w:val="0"/>
          <w:numId w:val="2"/>
        </w:numPr>
        <w:spacing w:after="60"/>
      </w:pPr>
      <w:r>
        <w:rPr>
          <w:rFonts w:ascii="Arial" w:cs="Arial" w:eastAsia="Arial" w:hAnsi="Arial"/>
          <w:color w:val="1A1A1A"/>
          <w:sz w:val="20"/>
          <w:szCs w:val="20"/>
        </w:rPr>
        <w:t xml:space="preserve">Review and update all third-party dependencies monthly.</w:t>
      </w:r>
    </w:p>
    <w:p>
      <w:pPr>
        <w:pStyle w:val="ListParagraph"/>
        <w:numPr>
          <w:ilvl w:val="0"/>
          <w:numId w:val="2"/>
        </w:numPr>
        <w:spacing w:after="60"/>
      </w:pPr>
      <w:r>
        <w:rPr>
          <w:rFonts w:ascii="Arial" w:cs="Arial" w:eastAsia="Arial" w:hAnsi="Arial"/>
          <w:color w:val="1A1A1A"/>
          <w:sz w:val="20"/>
          <w:szCs w:val="20"/>
        </w:rPr>
        <w:t xml:space="preserve">Subscribe to vulnerability alerts (e.g.</w:t>
      </w:r>
    </w:p>
    <w:p>
      <w:pPr>
        <w:pStyle w:val="ListParagraph"/>
        <w:numPr>
          <w:ilvl w:val="0"/>
          <w:numId w:val="2"/>
        </w:numPr>
        <w:spacing w:after="60"/>
      </w:pPr>
      <w:r>
        <w:rPr>
          <w:rFonts w:ascii="Arial" w:cs="Arial" w:eastAsia="Arial" w:hAnsi="Arial"/>
          <w:color w:val="1A1A1A"/>
          <w:sz w:val="20"/>
          <w:szCs w:val="20"/>
        </w:rPr>
        <w:t xml:space="preserve">GitHub Dependabot, Snyk) for all critical libraries.</w:t>
      </w:r>
    </w:p>
    <w:p>
      <w:pPr>
        <w:pStyle w:val="ListParagraph"/>
        <w:numPr>
          <w:ilvl w:val="0"/>
          <w:numId w:val="2"/>
        </w:numPr>
        <w:spacing w:after="60"/>
      </w:pPr>
      <w:r>
        <w:rPr>
          <w:rFonts w:ascii="Arial" w:cs="Arial" w:eastAsia="Arial" w:hAnsi="Arial"/>
          <w:color w:val="1A1A1A"/>
          <w:sz w:val="20"/>
          <w:szCs w:val="20"/>
        </w:rPr>
        <w:t xml:space="preserve">Block deployment if critical vulnerabilities are detected.</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R-017 — Subcontractor accesses PayFlow customer data without authorisation</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Third-Party / Vendor</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4 = 12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Legal</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Vendor / insider threat</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restrictions on subcontractor data access; no NDAs in place</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Implement subcontractor access controls with least-privilege principles.</w:t>
      </w:r>
    </w:p>
    <w:p>
      <w:pPr>
        <w:pStyle w:val="ListParagraph"/>
        <w:numPr>
          <w:ilvl w:val="0"/>
          <w:numId w:val="2"/>
        </w:numPr>
        <w:spacing w:after="60"/>
      </w:pPr>
      <w:r>
        <w:rPr>
          <w:rFonts w:ascii="Arial" w:cs="Arial" w:eastAsia="Arial" w:hAnsi="Arial"/>
          <w:color w:val="1A1A1A"/>
          <w:sz w:val="20"/>
          <w:szCs w:val="20"/>
        </w:rPr>
        <w:t xml:space="preserve">Require NDAs before any data access is granted.</w:t>
      </w:r>
    </w:p>
    <w:p>
      <w:pPr>
        <w:pStyle w:val="ListParagraph"/>
        <w:numPr>
          <w:ilvl w:val="0"/>
          <w:numId w:val="2"/>
        </w:numPr>
        <w:spacing w:after="60"/>
      </w:pPr>
      <w:r>
        <w:rPr>
          <w:rFonts w:ascii="Arial" w:cs="Arial" w:eastAsia="Arial" w:hAnsi="Arial"/>
          <w:color w:val="1A1A1A"/>
          <w:sz w:val="20"/>
          <w:szCs w:val="20"/>
        </w:rPr>
        <w:t xml:space="preserve">Conduct annual vendor access reviews.</w:t>
      </w:r>
    </w:p>
    <w:p>
      <w:pPr>
        <w:pStyle w:val="ListParagraph"/>
        <w:numPr>
          <w:ilvl w:val="0"/>
          <w:numId w:val="2"/>
        </w:numPr>
        <w:spacing w:after="60"/>
      </w:pPr>
      <w:r>
        <w:rPr>
          <w:rFonts w:ascii="Arial" w:cs="Arial" w:eastAsia="Arial" w:hAnsi="Arial"/>
          <w:color w:val="1A1A1A"/>
          <w:sz w:val="20"/>
          <w:szCs w:val="20"/>
        </w:rPr>
        <w:t xml:space="preserve">Maintain access logs for all subcontractor activity.</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Q2 2026</w:t>
      </w:r>
    </w:p>
    <w:p>
      <w:pPr>
        <w:spacing w:after="80"/>
      </w:pPr>
    </w:p>
    <w:p>
      <w:pPr>
        <w:pStyle w:val="Heading2"/>
        <w:spacing w:after="60" w:before="220"/>
      </w:pPr>
      <w:r>
        <w:rPr>
          <w:rFonts w:ascii="Arial" w:cs="Arial" w:eastAsia="Arial" w:hAnsi="Arial"/>
          <w:b/>
          <w:bCs/>
          <w:color w:val="1F3864"/>
          <w:sz w:val="22"/>
          <w:szCs w:val="22"/>
        </w:rPr>
        <w:t xml:space="preserve">R-018 — Theft of employee laptop containing sensitive customer data</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Physical &amp; Environmental</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4 = 12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Department</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Physical theft</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Device encryption not enforced on all laptops; no MDM in place</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Enforce full disk encryption (BitLocker/FileVault) on all company devices.</w:t>
      </w:r>
    </w:p>
    <w:p>
      <w:pPr>
        <w:pStyle w:val="ListParagraph"/>
        <w:numPr>
          <w:ilvl w:val="0"/>
          <w:numId w:val="2"/>
        </w:numPr>
        <w:spacing w:after="60"/>
      </w:pPr>
      <w:r>
        <w:rPr>
          <w:rFonts w:ascii="Arial" w:cs="Arial" w:eastAsia="Arial" w:hAnsi="Arial"/>
          <w:color w:val="1A1A1A"/>
          <w:sz w:val="20"/>
          <w:szCs w:val="20"/>
        </w:rPr>
        <w:t xml:space="preserve">Deploy Mobile Device Management (MDM) with remote wipe capability.</w:t>
      </w:r>
    </w:p>
    <w:p>
      <w:pPr>
        <w:pStyle w:val="ListParagraph"/>
        <w:numPr>
          <w:ilvl w:val="0"/>
          <w:numId w:val="2"/>
        </w:numPr>
        <w:spacing w:after="60"/>
      </w:pPr>
      <w:r>
        <w:rPr>
          <w:rFonts w:ascii="Arial" w:cs="Arial" w:eastAsia="Arial" w:hAnsi="Arial"/>
          <w:color w:val="1A1A1A"/>
          <w:sz w:val="20"/>
          <w:szCs w:val="20"/>
        </w:rPr>
        <w:t xml:space="preserve">Implement mandatory incident reporting for all lost or stolen devices.</w:t>
      </w:r>
    </w:p>
    <w:p>
      <w:pPr>
        <w:pStyle w:val="ListParagraph"/>
        <w:numPr>
          <w:ilvl w:val="0"/>
          <w:numId w:val="2"/>
        </w:numPr>
        <w:spacing w:after="60"/>
      </w:pPr>
      <w:r>
        <w:rPr>
          <w:rFonts w:ascii="Arial" w:cs="Arial" w:eastAsia="Arial" w:hAnsi="Arial"/>
          <w:color w:val="1A1A1A"/>
          <w:sz w:val="20"/>
          <w:szCs w:val="20"/>
        </w:rPr>
        <w:t xml:space="preserve">Revoke access tokens remotely within 1 hour of a report.</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R-022 — Insufficient cyber insurance coverage leaving PayFlow exposed to breach costs</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Financial</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4 = 12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Finance Director</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Financial planning gap</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cyber insurance policy in place</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Obtain a comprehensive cyber insurance policy covering data breach response costs, ransomware, regulatory fines, and business interruption.</w:t>
      </w:r>
    </w:p>
    <w:p>
      <w:pPr>
        <w:pStyle w:val="ListParagraph"/>
        <w:numPr>
          <w:ilvl w:val="0"/>
          <w:numId w:val="2"/>
        </w:numPr>
        <w:spacing w:after="60"/>
      </w:pPr>
      <w:r>
        <w:rPr>
          <w:rFonts w:ascii="Arial" w:cs="Arial" w:eastAsia="Arial" w:hAnsi="Arial"/>
          <w:color w:val="1A1A1A"/>
          <w:sz w:val="20"/>
          <w:szCs w:val="20"/>
        </w:rPr>
        <w:t xml:space="preserve">Review coverage limits annually and adjust based on business growth and risk profile changes.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R-023 — Security budget constraints limiting ability to implement critical controls</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Financial</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3 x 4 = 12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CEO / Finance</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Internal financial risk</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Security budget not formally allocated; controls deprioritised against product development</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Formally allocate an annual information security budget as a line item.</w:t>
      </w:r>
    </w:p>
    <w:p>
      <w:pPr>
        <w:pStyle w:val="ListParagraph"/>
        <w:numPr>
          <w:ilvl w:val="0"/>
          <w:numId w:val="2"/>
        </w:numPr>
        <w:spacing w:after="60"/>
      </w:pPr>
      <w:r>
        <w:rPr>
          <w:rFonts w:ascii="Arial" w:cs="Arial" w:eastAsia="Arial" w:hAnsi="Arial"/>
          <w:color w:val="1A1A1A"/>
          <w:sz w:val="20"/>
          <w:szCs w:val="20"/>
        </w:rPr>
        <w:t xml:space="preserve">Present a risk-based business case to the board linking budget requests to specific risk register items.</w:t>
      </w:r>
    </w:p>
    <w:p>
      <w:pPr>
        <w:pStyle w:val="ListParagraph"/>
        <w:numPr>
          <w:ilvl w:val="0"/>
          <w:numId w:val="2"/>
        </w:numPr>
        <w:spacing w:after="60"/>
      </w:pPr>
      <w:r>
        <w:rPr>
          <w:rFonts w:ascii="Arial" w:cs="Arial" w:eastAsia="Arial" w:hAnsi="Arial"/>
          <w:color w:val="1A1A1A"/>
          <w:sz w:val="20"/>
          <w:szCs w:val="20"/>
        </w:rPr>
        <w:t xml:space="preserve">Demonstrate ROI by quantifying potential breach costs against control implementation costs.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pPr>
        <w:pStyle w:val="Heading2"/>
        <w:spacing w:after="60" w:before="220"/>
      </w:pPr>
      <w:r>
        <w:rPr>
          <w:rFonts w:ascii="Arial" w:cs="Arial" w:eastAsia="Arial" w:hAnsi="Arial"/>
          <w:b/>
          <w:bCs/>
          <w:color w:val="1F3864"/>
          <w:sz w:val="22"/>
          <w:szCs w:val="22"/>
        </w:rPr>
        <w:t xml:space="preserve">R-024 — Key person dependency — critical security knowledge held by single staff member</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People / Human</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4 x 4 = 16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ISO Officer / HR</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Human / organisational risk</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documented security procedures; knowledge not transferred across team</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Document all critical security procedures and operational runbooks.</w:t>
      </w:r>
    </w:p>
    <w:p>
      <w:pPr>
        <w:pStyle w:val="ListParagraph"/>
        <w:numPr>
          <w:ilvl w:val="0"/>
          <w:numId w:val="2"/>
        </w:numPr>
        <w:spacing w:after="60"/>
      </w:pPr>
      <w:r>
        <w:rPr>
          <w:rFonts w:ascii="Arial" w:cs="Arial" w:eastAsia="Arial" w:hAnsi="Arial"/>
          <w:color w:val="1A1A1A"/>
          <w:sz w:val="20"/>
          <w:szCs w:val="20"/>
        </w:rPr>
        <w:t xml:space="preserve">Implement a cross-training programme ensuring at least 2 staff members are trained per function.</w:t>
      </w:r>
    </w:p>
    <w:p>
      <w:pPr>
        <w:pStyle w:val="ListParagraph"/>
        <w:numPr>
          <w:ilvl w:val="0"/>
          <w:numId w:val="2"/>
        </w:numPr>
        <w:spacing w:after="60"/>
      </w:pPr>
      <w:r>
        <w:rPr>
          <w:rFonts w:ascii="Arial" w:cs="Arial" w:eastAsia="Arial" w:hAnsi="Arial"/>
          <w:color w:val="1A1A1A"/>
          <w:sz w:val="20"/>
          <w:szCs w:val="20"/>
        </w:rPr>
        <w:t xml:space="preserve">Maintain a formal succession plan for key security roles.</w:t>
      </w:r>
    </w:p>
    <w:p>
      <w:pPr>
        <w:pStyle w:val="ListParagraph"/>
        <w:numPr>
          <w:ilvl w:val="0"/>
          <w:numId w:val="2"/>
        </w:numPr>
        <w:spacing w:after="60"/>
      </w:pPr>
      <w:r>
        <w:rPr>
          <w:rFonts w:ascii="Arial" w:cs="Arial" w:eastAsia="Arial" w:hAnsi="Arial"/>
          <w:color w:val="1A1A1A"/>
          <w:sz w:val="20"/>
          <w:szCs w:val="20"/>
        </w:rPr>
        <w:t xml:space="preserve">Review knowledge transfer coverage quarterly.</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Q2 2026</w:t>
      </w:r>
    </w:p>
    <w:p>
      <w:pPr>
        <w:spacing w:after="80"/>
      </w:pPr>
    </w:p>
    <w:p>
      <w:pPr>
        <w:pStyle w:val="Heading2"/>
        <w:spacing w:after="60" w:before="220"/>
      </w:pPr>
      <w:r>
        <w:rPr>
          <w:rFonts w:ascii="Arial" w:cs="Arial" w:eastAsia="Arial" w:hAnsi="Arial"/>
          <w:b/>
          <w:bCs/>
          <w:color w:val="1F3864"/>
          <w:sz w:val="22"/>
          <w:szCs w:val="22"/>
        </w:rPr>
        <w:t xml:space="preserve">R-026 — Human error leading to accidental disclosure of customer data</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People / Human</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4 x 4 = 16 (High)</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ISO Officer</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Unintentional insider threat</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data handling training; no data classification policy implemented</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Implement a data classification policy (Confidential / Internal / Public).</w:t>
      </w:r>
    </w:p>
    <w:p>
      <w:pPr>
        <w:pStyle w:val="ListParagraph"/>
        <w:numPr>
          <w:ilvl w:val="0"/>
          <w:numId w:val="2"/>
        </w:numPr>
        <w:spacing w:after="60"/>
      </w:pPr>
      <w:r>
        <w:rPr>
          <w:rFonts w:ascii="Arial" w:cs="Arial" w:eastAsia="Arial" w:hAnsi="Arial"/>
          <w:color w:val="1A1A1A"/>
          <w:sz w:val="20"/>
          <w:szCs w:val="20"/>
        </w:rPr>
        <w:t xml:space="preserve">Deliver mandatory data handling training to all staff on onboarding and annually.</w:t>
      </w:r>
    </w:p>
    <w:p>
      <w:pPr>
        <w:pStyle w:val="ListParagraph"/>
        <w:numPr>
          <w:ilvl w:val="0"/>
          <w:numId w:val="2"/>
        </w:numPr>
        <w:spacing w:after="60"/>
      </w:pPr>
      <w:r>
        <w:rPr>
          <w:rFonts w:ascii="Arial" w:cs="Arial" w:eastAsia="Arial" w:hAnsi="Arial"/>
          <w:color w:val="1A1A1A"/>
          <w:sz w:val="20"/>
          <w:szCs w:val="20"/>
        </w:rPr>
        <w:t xml:space="preserve">Implement email DLP rules to flag and block emails containing sensitive data patterns (e.g.</w:t>
      </w:r>
    </w:p>
    <w:p>
      <w:pPr>
        <w:pStyle w:val="ListParagraph"/>
        <w:numPr>
          <w:ilvl w:val="0"/>
          <w:numId w:val="2"/>
        </w:numPr>
        <w:spacing w:after="60"/>
      </w:pPr>
      <w:r>
        <w:rPr>
          <w:rFonts w:ascii="Arial" w:cs="Arial" w:eastAsia="Arial" w:hAnsi="Arial"/>
          <w:color w:val="1A1A1A"/>
          <w:sz w:val="20"/>
          <w:szCs w:val="20"/>
        </w:rPr>
        <w:t xml:space="preserve">card numbers, IBANs).</w:t>
      </w:r>
    </w:p>
    <w:p>
      <w:pPr>
        <w:pStyle w:val="ListParagraph"/>
        <w:numPr>
          <w:ilvl w:val="0"/>
          <w:numId w:val="2"/>
        </w:numPr>
        <w:spacing w:after="60"/>
      </w:pPr>
      <w:r>
        <w:rPr>
          <w:rFonts w:ascii="Arial" w:cs="Arial" w:eastAsia="Arial" w:hAnsi="Arial"/>
          <w:color w:val="1A1A1A"/>
          <w:sz w:val="20"/>
          <w:szCs w:val="20"/>
        </w:rPr>
        <w:t xml:space="preserve">Conduct quarterly data handling compliance spot-checks.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Q1 2026</w:t>
      </w:r>
    </w:p>
    <w:p>
      <w:pPr>
        <w:spacing w:after="80"/>
      </w:pPr>
    </w:p>
    <w:p>
      <w:r>
        <w:br w:type="page"/>
      </w:r>
    </w:p>
    <w:p>
      <w:pPr>
        <w:pStyle w:val="Heading1"/>
        <w:spacing w:after="80" w:before="320"/>
      </w:pPr>
      <w:r>
        <w:rPr>
          <w:rFonts w:ascii="Arial" w:cs="Arial" w:eastAsia="Arial" w:hAnsi="Arial"/>
          <w:b/>
          <w:bCs/>
          <w:caps/>
          <w:color w:val="1F3864"/>
          <w:sz w:val="26"/>
          <w:szCs w:val="26"/>
        </w:rPr>
        <w:t xml:space="preserve">Medium Priority Remediations</w:t>
      </w:r>
    </w:p>
    <w:p>
      <w:pPr>
        <w:pBdr>
          <w:bottom w:val="single" w:color="1F3864" w:sz="8" w:space="1"/>
        </w:pBdr>
        <w:spacing w:after="120"/>
      </w:pPr>
    </w:p>
    <w:p>
      <w:pPr>
        <w:spacing w:after="80"/>
      </w:pPr>
      <w:r>
        <w:rPr>
          <w:rFonts w:ascii="Arial" w:cs="Arial" w:eastAsia="Arial" w:hAnsi="Arial"/>
          <w:color w:val="1A1A1A"/>
          <w:sz w:val="20"/>
          <w:szCs w:val="20"/>
        </w:rPr>
        <w:t xml:space="preserve">The following 2 risks carry medium risk scores (4-7) and should be addressed within 6 months. These represent lower but non-negligible exposure.</w:t>
      </w:r>
    </w:p>
    <w:p>
      <w:pPr>
        <w:spacing w:after="80"/>
      </w:pPr>
    </w:p>
    <w:p>
      <w:pPr>
        <w:pStyle w:val="Heading2"/>
        <w:spacing w:after="60" w:before="220"/>
      </w:pPr>
      <w:r>
        <w:rPr>
          <w:rFonts w:ascii="Arial" w:cs="Arial" w:eastAsia="Arial" w:hAnsi="Arial"/>
          <w:b/>
          <w:bCs/>
          <w:color w:val="1F3864"/>
          <w:sz w:val="22"/>
          <w:szCs w:val="22"/>
        </w:rPr>
        <w:t xml:space="preserve">R-019 — Office flood or fire causing loss of on-site equipment and data</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Physical &amp; Environmental</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2 x 4 = 8 (Medium)</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IT / Facilities</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Environmental hazard</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business continuity plan; no off-site data storage</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Develop and document a Business Continuity Plan (BCP).</w:t>
      </w:r>
    </w:p>
    <w:p>
      <w:pPr>
        <w:pStyle w:val="ListParagraph"/>
        <w:numPr>
          <w:ilvl w:val="0"/>
          <w:numId w:val="2"/>
        </w:numPr>
        <w:spacing w:after="60"/>
      </w:pPr>
      <w:r>
        <w:rPr>
          <w:rFonts w:ascii="Arial" w:cs="Arial" w:eastAsia="Arial" w:hAnsi="Arial"/>
          <w:color w:val="1A1A1A"/>
          <w:sz w:val="20"/>
          <w:szCs w:val="20"/>
        </w:rPr>
        <w:t xml:space="preserve">Ensure all critical data is stored in AWS with daily off-site encrypted backups.</w:t>
      </w:r>
    </w:p>
    <w:p>
      <w:pPr>
        <w:pStyle w:val="ListParagraph"/>
        <w:numPr>
          <w:ilvl w:val="0"/>
          <w:numId w:val="2"/>
        </w:numPr>
        <w:spacing w:after="60"/>
      </w:pPr>
      <w:r>
        <w:rPr>
          <w:rFonts w:ascii="Arial" w:cs="Arial" w:eastAsia="Arial" w:hAnsi="Arial"/>
          <w:color w:val="1A1A1A"/>
          <w:sz w:val="20"/>
          <w:szCs w:val="20"/>
        </w:rPr>
        <w:t xml:space="preserve">Install fire suppression and environmental monitoring systems in the office.</w:t>
      </w:r>
    </w:p>
    <w:p>
      <w:pPr>
        <w:pStyle w:val="ListParagraph"/>
        <w:numPr>
          <w:ilvl w:val="0"/>
          <w:numId w:val="2"/>
        </w:numPr>
        <w:spacing w:after="60"/>
      </w:pPr>
      <w:r>
        <w:rPr>
          <w:rFonts w:ascii="Arial" w:cs="Arial" w:eastAsia="Arial" w:hAnsi="Arial"/>
          <w:color w:val="1A1A1A"/>
          <w:sz w:val="20"/>
          <w:szCs w:val="20"/>
        </w:rPr>
        <w:t xml:space="preserve">Test BCP annually.</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Q2 2026</w:t>
      </w:r>
    </w:p>
    <w:p>
      <w:pPr>
        <w:spacing w:after="80"/>
      </w:pPr>
    </w:p>
    <w:p>
      <w:pPr>
        <w:pStyle w:val="Heading2"/>
        <w:spacing w:after="60" w:before="220"/>
      </w:pPr>
      <w:r>
        <w:rPr>
          <w:rFonts w:ascii="Arial" w:cs="Arial" w:eastAsia="Arial" w:hAnsi="Arial"/>
          <w:b/>
          <w:bCs/>
          <w:color w:val="1F3864"/>
          <w:sz w:val="22"/>
          <w:szCs w:val="22"/>
        </w:rPr>
        <w:t xml:space="preserve">R-020 — Unauthorised physical access to PayFlow office gaining access to systems</w:t>
      </w:r>
    </w:p>
    <w:p>
      <w:pPr>
        <w:spacing w:after="60"/>
      </w:pPr>
      <w:r>
        <w:rPr>
          <w:rFonts w:ascii="Arial" w:cs="Arial" w:eastAsia="Arial" w:hAnsi="Arial"/>
          <w:b/>
          <w:bCs/>
          <w:color w:val="1A1A1A"/>
          <w:sz w:val="20"/>
          <w:szCs w:val="20"/>
        </w:rPr>
        <w:t xml:space="preserve">Category: </w:t>
      </w:r>
      <w:r>
        <w:rPr>
          <w:rFonts w:ascii="Arial" w:cs="Arial" w:eastAsia="Arial" w:hAnsi="Arial"/>
          <w:color w:val="1A1A1A"/>
          <w:sz w:val="20"/>
          <w:szCs w:val="20"/>
        </w:rPr>
        <w:t xml:space="preserve">Physical &amp; Environmental</w:t>
      </w:r>
    </w:p>
    <w:p>
      <w:pPr>
        <w:spacing w:after="60"/>
      </w:pPr>
      <w:r>
        <w:rPr>
          <w:rFonts w:ascii="Arial" w:cs="Arial" w:eastAsia="Arial" w:hAnsi="Arial"/>
          <w:b/>
          <w:bCs/>
          <w:color w:val="1A1A1A"/>
          <w:sz w:val="20"/>
          <w:szCs w:val="20"/>
        </w:rPr>
        <w:t xml:space="preserve">Risk Score: </w:t>
      </w:r>
      <w:r>
        <w:rPr>
          <w:rFonts w:ascii="Arial" w:cs="Arial" w:eastAsia="Arial" w:hAnsi="Arial"/>
          <w:color w:val="1A1A1A"/>
          <w:sz w:val="20"/>
          <w:szCs w:val="20"/>
        </w:rPr>
        <w:t xml:space="preserve">2 x 4 = 8 (Medium)</w:t>
      </w:r>
    </w:p>
    <w:p>
      <w:pPr>
        <w:spacing w:after="60"/>
      </w:pPr>
      <w:r>
        <w:rPr>
          <w:rFonts w:ascii="Arial" w:cs="Arial" w:eastAsia="Arial" w:hAnsi="Arial"/>
          <w:b/>
          <w:bCs/>
          <w:color w:val="1A1A1A"/>
          <w:sz w:val="20"/>
          <w:szCs w:val="20"/>
        </w:rPr>
        <w:t xml:space="preserve">Risk Owner: </w:t>
      </w:r>
      <w:r>
        <w:rPr>
          <w:rFonts w:ascii="Arial" w:cs="Arial" w:eastAsia="Arial" w:hAnsi="Arial"/>
          <w:color w:val="1A1A1A"/>
          <w:sz w:val="20"/>
          <w:szCs w:val="20"/>
        </w:rPr>
        <w:t xml:space="preserve">Facilities Manager</w:t>
      </w:r>
    </w:p>
    <w:p>
      <w:pPr>
        <w:spacing w:after="60"/>
      </w:pPr>
      <w:r>
        <w:rPr>
          <w:rFonts w:ascii="Arial" w:cs="Arial" w:eastAsia="Arial" w:hAnsi="Arial"/>
          <w:b/>
          <w:bCs/>
          <w:color w:val="1A1A1A"/>
          <w:sz w:val="20"/>
          <w:szCs w:val="20"/>
        </w:rPr>
        <w:t xml:space="preserve">Threat Source: </w:t>
      </w:r>
      <w:r>
        <w:rPr>
          <w:rFonts w:ascii="Arial" w:cs="Arial" w:eastAsia="Arial" w:hAnsi="Arial"/>
          <w:color w:val="1A1A1A"/>
          <w:sz w:val="20"/>
          <w:szCs w:val="20"/>
        </w:rPr>
        <w:t xml:space="preserve">Physical security breach</w:t>
      </w:r>
    </w:p>
    <w:p>
      <w:pPr>
        <w:spacing w:after="60"/>
      </w:pPr>
      <w:r>
        <w:rPr>
          <w:rFonts w:ascii="Arial" w:cs="Arial" w:eastAsia="Arial" w:hAnsi="Arial"/>
          <w:b/>
          <w:bCs/>
          <w:color w:val="1A1A1A"/>
          <w:sz w:val="20"/>
          <w:szCs w:val="20"/>
        </w:rPr>
        <w:t xml:space="preserve">Current Controls / Gaps: </w:t>
      </w:r>
      <w:r>
        <w:rPr>
          <w:rFonts w:ascii="Arial" w:cs="Arial" w:eastAsia="Arial" w:hAnsi="Arial"/>
          <w:color w:val="1A1A1A"/>
          <w:sz w:val="20"/>
          <w:szCs w:val="20"/>
        </w:rPr>
        <w:t xml:space="preserve">No key card access control; visitor log not maintained</w:t>
      </w:r>
    </w:p>
    <w:p>
      <w:pPr>
        <w:spacing w:after="40"/>
      </w:pPr>
    </w:p>
    <w:p>
      <w:pPr>
        <w:spacing w:after="80"/>
      </w:pPr>
      <w:r>
        <w:rPr>
          <w:rFonts w:ascii="Arial" w:cs="Arial" w:eastAsia="Arial" w:hAnsi="Arial"/>
          <w:b/>
          <w:bCs/>
          <w:color w:val="1F3864"/>
          <w:sz w:val="20"/>
          <w:szCs w:val="20"/>
        </w:rPr>
        <w:t xml:space="preserve">Remediation Actions:</w:t>
      </w:r>
    </w:p>
    <w:p>
      <w:pPr>
        <w:pStyle w:val="ListParagraph"/>
        <w:numPr>
          <w:ilvl w:val="0"/>
          <w:numId w:val="2"/>
        </w:numPr>
        <w:spacing w:after="60"/>
      </w:pPr>
      <w:r>
        <w:rPr>
          <w:rFonts w:ascii="Arial" w:cs="Arial" w:eastAsia="Arial" w:hAnsi="Arial"/>
          <w:color w:val="1A1A1A"/>
          <w:sz w:val="20"/>
          <w:szCs w:val="20"/>
        </w:rPr>
        <w:t xml:space="preserve">Implement key card access control system at all entry points.</w:t>
      </w:r>
    </w:p>
    <w:p>
      <w:pPr>
        <w:pStyle w:val="ListParagraph"/>
        <w:numPr>
          <w:ilvl w:val="0"/>
          <w:numId w:val="2"/>
        </w:numPr>
        <w:spacing w:after="60"/>
      </w:pPr>
      <w:r>
        <w:rPr>
          <w:rFonts w:ascii="Arial" w:cs="Arial" w:eastAsia="Arial" w:hAnsi="Arial"/>
          <w:color w:val="1A1A1A"/>
          <w:sz w:val="20"/>
          <w:szCs w:val="20"/>
        </w:rPr>
        <w:t xml:space="preserve">Enforce a visitor sign-in and escort policy.</w:t>
      </w:r>
    </w:p>
    <w:p>
      <w:pPr>
        <w:pStyle w:val="ListParagraph"/>
        <w:numPr>
          <w:ilvl w:val="0"/>
          <w:numId w:val="2"/>
        </w:numPr>
        <w:spacing w:after="60"/>
      </w:pPr>
      <w:r>
        <w:rPr>
          <w:rFonts w:ascii="Arial" w:cs="Arial" w:eastAsia="Arial" w:hAnsi="Arial"/>
          <w:color w:val="1A1A1A"/>
          <w:sz w:val="20"/>
          <w:szCs w:val="20"/>
        </w:rPr>
        <w:t xml:space="preserve">Install CCTV at all entry and exit points with 30-day footage retention.</w:t>
      </w:r>
    </w:p>
    <w:p>
      <w:pPr>
        <w:pStyle w:val="ListParagraph"/>
        <w:numPr>
          <w:ilvl w:val="0"/>
          <w:numId w:val="2"/>
        </w:numPr>
        <w:spacing w:after="60"/>
      </w:pPr>
      <w:r>
        <w:rPr>
          <w:rFonts w:ascii="Arial" w:cs="Arial" w:eastAsia="Arial" w:hAnsi="Arial"/>
          <w:color w:val="1A1A1A"/>
          <w:sz w:val="20"/>
          <w:szCs w:val="20"/>
        </w:rPr>
        <w:t xml:space="preserve">Retain access logs for a minimum of 12 months.</w:t>
      </w:r>
    </w:p>
    <w:p>
      <w:pPr>
        <w:spacing w:after="60"/>
      </w:pPr>
      <w:r>
        <w:rPr>
          <w:rFonts w:ascii="Arial" w:cs="Arial" w:eastAsia="Arial" w:hAnsi="Arial"/>
          <w:b/>
          <w:bCs/>
          <w:color w:val="1A1A1A"/>
          <w:sz w:val="20"/>
          <w:szCs w:val="20"/>
        </w:rPr>
        <w:t xml:space="preserve">Target Completion: </w:t>
      </w:r>
      <w:r>
        <w:rPr>
          <w:rFonts w:ascii="Arial" w:cs="Arial" w:eastAsia="Arial" w:hAnsi="Arial"/>
          <w:color w:val="1A1A1A"/>
          <w:sz w:val="20"/>
          <w:szCs w:val="20"/>
        </w:rPr>
        <w:t xml:space="preserve">Q2 2026</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2026-07-14T10:25:44.963Z</dcterms:created>
  <dcterms:modified xsi:type="dcterms:W3CDTF">2026-07-14T10:25:44.978Z</dcterms:modified>
</cp:coreProperties>
</file>

<file path=docProps/custom.xml><?xml version="1.0" encoding="utf-8"?>
<Properties xmlns="http://schemas.openxmlformats.org/officeDocument/2006/custom-properties" xmlns:vt="http://schemas.openxmlformats.org/officeDocument/2006/docPropsVTypes"/>
</file>