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Executive Summary: ABN AMRO Bank Quarterly Report (Q3 2024)</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summary provides a high-level overview of ABN AMRO Bank's financial and operational performance for the third quarter of 2024, based on the provided report. The bank demonstrated robust performance, characterized by solid financial results, strategic progress in sustainability and digital innovation, and a strong balance sheet.</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 Key Financial Metrics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bank's core profitability and capital position remain strong, though some metrics show a slight year-over-year decline.</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Net Profit:</w:t>
      </w:r>
      <w:r w:rsidDel="00000000" w:rsidR="00000000" w:rsidRPr="00000000">
        <w:rPr>
          <w:rFonts w:ascii="Google Sans Text" w:cs="Google Sans Text" w:eastAsia="Google Sans Text" w:hAnsi="Google Sans Text"/>
          <w:i w:val="0"/>
          <w:color w:val="1b1c1d"/>
          <w:sz w:val="24"/>
          <w:szCs w:val="24"/>
          <w:rtl w:val="0"/>
        </w:rPr>
        <w:t xml:space="preserve"> EUR 690 million, a decrease from EUR 759 million in Q3 2023.</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Earnings Per Share (EPS):</w:t>
      </w:r>
      <w:r w:rsidDel="00000000" w:rsidR="00000000" w:rsidRPr="00000000">
        <w:rPr>
          <w:rFonts w:ascii="Google Sans Text" w:cs="Google Sans Text" w:eastAsia="Google Sans Text" w:hAnsi="Google Sans Text"/>
          <w:i w:val="0"/>
          <w:color w:val="1b1c1d"/>
          <w:sz w:val="24"/>
          <w:szCs w:val="24"/>
          <w:rtl w:val="0"/>
        </w:rPr>
        <w:t xml:space="preserve"> EUR 0.78, slightly down from EUR 0.85 in the same period last year.</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Return on Equity (ROE):</w:t>
      </w:r>
      <w:r w:rsidDel="00000000" w:rsidR="00000000" w:rsidRPr="00000000">
        <w:rPr>
          <w:rFonts w:ascii="Google Sans Text" w:cs="Google Sans Text" w:eastAsia="Google Sans Text" w:hAnsi="Google Sans Text"/>
          <w:i w:val="0"/>
          <w:color w:val="1b1c1d"/>
          <w:sz w:val="24"/>
          <w:szCs w:val="24"/>
          <w:rtl w:val="0"/>
        </w:rPr>
        <w:t xml:space="preserve"> 11.6%, which is within the bank's strategic target range of 9-10%.</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Cost/Income Ratio:</w:t>
      </w:r>
      <w:r w:rsidDel="00000000" w:rsidR="00000000" w:rsidRPr="00000000">
        <w:rPr>
          <w:rFonts w:ascii="Google Sans Text" w:cs="Google Sans Text" w:eastAsia="Google Sans Text" w:hAnsi="Google Sans Text"/>
          <w:i w:val="0"/>
          <w:color w:val="1b1c1d"/>
          <w:sz w:val="24"/>
          <w:szCs w:val="24"/>
          <w:rtl w:val="0"/>
        </w:rPr>
        <w:t xml:space="preserve"> Improved to 59.2% from 71.6% in Q3 2023, nearing the long-term target of approximately 60% and indicating greater operational efficiency.</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Common Equity Tier 1 (CET1) Ratio:</w:t>
      </w:r>
      <w:r w:rsidDel="00000000" w:rsidR="00000000" w:rsidRPr="00000000">
        <w:rPr>
          <w:rFonts w:ascii="Google Sans Text" w:cs="Google Sans Text" w:eastAsia="Google Sans Text" w:hAnsi="Google Sans Text"/>
          <w:i w:val="0"/>
          <w:color w:val="1b1c1d"/>
          <w:sz w:val="24"/>
          <w:szCs w:val="24"/>
          <w:rtl w:val="0"/>
        </w:rPr>
        <w:t xml:space="preserve"> A strong 14.1%, demonstrating a solid capital position.</w:t>
      </w:r>
    </w:p>
    <w:p w:rsidR="00000000" w:rsidDel="00000000" w:rsidP="00000000" w:rsidRDefault="00000000" w:rsidRPr="00000000" w14:paraId="0000000A">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 Segment Performance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report does not break down performance by formal operating segments, it highlights key business drivers:</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Lending:</w:t>
      </w:r>
      <w:r w:rsidDel="00000000" w:rsidR="00000000" w:rsidRPr="00000000">
        <w:rPr>
          <w:rFonts w:ascii="Google Sans Text" w:cs="Google Sans Text" w:eastAsia="Google Sans Text" w:hAnsi="Google Sans Text"/>
          <w:i w:val="0"/>
          <w:color w:val="1b1c1d"/>
          <w:sz w:val="24"/>
          <w:szCs w:val="24"/>
          <w:rtl w:val="0"/>
        </w:rPr>
        <w:t xml:space="preserve"> Growth was primarily driven by residential mortgages and corporate lending, which increased total loans and advances to customers to EUR 259.6 billion.</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Treasury &amp; Asset Management:</w:t>
      </w:r>
      <w:r w:rsidDel="00000000" w:rsidR="00000000" w:rsidRPr="00000000">
        <w:rPr>
          <w:rFonts w:ascii="Google Sans Text" w:cs="Google Sans Text" w:eastAsia="Google Sans Text" w:hAnsi="Google Sans Text"/>
          <w:i w:val="0"/>
          <w:color w:val="1b1c1d"/>
          <w:sz w:val="24"/>
          <w:szCs w:val="24"/>
          <w:rtl w:val="0"/>
        </w:rPr>
        <w:t xml:space="preserve"> Net Interest Income was boosted by improved Treasury results. Net Fee and Commission Income grew, supported by higher asset management fees and payment services.</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Deposits:</w:t>
      </w:r>
      <w:r w:rsidDel="00000000" w:rsidR="00000000" w:rsidRPr="00000000">
        <w:rPr>
          <w:rFonts w:ascii="Google Sans Text" w:cs="Google Sans Text" w:eastAsia="Google Sans Text" w:hAnsi="Google Sans Text"/>
          <w:i w:val="0"/>
          <w:color w:val="1b1c1d"/>
          <w:sz w:val="24"/>
          <w:szCs w:val="24"/>
          <w:rtl w:val="0"/>
        </w:rPr>
        <w:t xml:space="preserve"> Overall client deposits remained stable at EUR 224.5 billion, though professional deposits saw a growth of EUR 1.6 billion.</w:t>
      </w:r>
    </w:p>
    <w:p w:rsidR="00000000" w:rsidDel="00000000" w:rsidP="00000000" w:rsidRDefault="00000000" w:rsidRPr="00000000" w14:paraId="0000000F">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 Income and Expenses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bank saw revenue growth, though this was partly offset by rising expenses due to investments and labor agreements.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Net Interest Income (NII):</w:t>
      </w:r>
      <w:r w:rsidDel="00000000" w:rsidR="00000000" w:rsidRPr="00000000">
        <w:rPr>
          <w:rFonts w:ascii="Google Sans Text" w:cs="Google Sans Text" w:eastAsia="Google Sans Text" w:hAnsi="Google Sans Text"/>
          <w:i w:val="0"/>
          <w:color w:val="1b1c1d"/>
          <w:sz w:val="24"/>
          <w:szCs w:val="24"/>
          <w:rtl w:val="0"/>
        </w:rPr>
        <w:t xml:space="preserve"> Increased 7% year-over-year to EUR 1,638 million.</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Net Fee and Commission Income:</w:t>
      </w:r>
      <w:r w:rsidDel="00000000" w:rsidR="00000000" w:rsidRPr="00000000">
        <w:rPr>
          <w:rFonts w:ascii="Google Sans Text" w:cs="Google Sans Text" w:eastAsia="Google Sans Text" w:hAnsi="Google Sans Text"/>
          <w:i w:val="0"/>
          <w:color w:val="1b1c1d"/>
          <w:sz w:val="24"/>
          <w:szCs w:val="24"/>
          <w:rtl w:val="0"/>
        </w:rPr>
        <w:t xml:space="preserve"> Grew 8% year-over-year to EUR 478 million.</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Operating Expenses:</w:t>
      </w:r>
      <w:r w:rsidDel="00000000" w:rsidR="00000000" w:rsidRPr="00000000">
        <w:rPr>
          <w:rFonts w:ascii="Google Sans Text" w:cs="Google Sans Text" w:eastAsia="Google Sans Text" w:hAnsi="Google Sans Text"/>
          <w:i w:val="0"/>
          <w:color w:val="1b1c1d"/>
          <w:sz w:val="24"/>
          <w:szCs w:val="24"/>
          <w:rtl w:val="0"/>
        </w:rPr>
        <w:t xml:space="preserve"> Rose 9% year-over-year to EUR 1,334 million, attributed to a new collective labor agreement and increased investments in IT and regulatory initiatives.</w:t>
      </w:r>
    </w:p>
    <w:p w:rsidR="00000000" w:rsidDel="00000000" w:rsidP="00000000" w:rsidRDefault="00000000" w:rsidRPr="00000000" w14:paraId="00000014">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 Balance Sheet Overview</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balance sheet expanded, reflecting growth in core lending activities.</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Total Assets:</w:t>
      </w:r>
      <w:r w:rsidDel="00000000" w:rsidR="00000000" w:rsidRPr="00000000">
        <w:rPr>
          <w:rFonts w:ascii="Google Sans Text" w:cs="Google Sans Text" w:eastAsia="Google Sans Text" w:hAnsi="Google Sans Text"/>
          <w:i w:val="0"/>
          <w:color w:val="1b1c1d"/>
          <w:sz w:val="24"/>
          <w:szCs w:val="24"/>
          <w:rtl w:val="0"/>
        </w:rPr>
        <w:t xml:space="preserve"> Increased to EUR 403.8 billion, up by EUR 10.4 billion from Q2 2024.</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Loans and Advances to Customers:</w:t>
      </w:r>
      <w:r w:rsidDel="00000000" w:rsidR="00000000" w:rsidRPr="00000000">
        <w:rPr>
          <w:rFonts w:ascii="Google Sans Text" w:cs="Google Sans Text" w:eastAsia="Google Sans Text" w:hAnsi="Google Sans Text"/>
          <w:i w:val="0"/>
          <w:color w:val="1b1c1d"/>
          <w:sz w:val="24"/>
          <w:szCs w:val="24"/>
          <w:rtl w:val="0"/>
        </w:rPr>
        <w:t xml:space="preserve"> Reached EUR 259.6 billion, an increase of EUR 8.1 billion from the previous quarter.</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Total Liabilities:</w:t>
      </w:r>
      <w:r w:rsidDel="00000000" w:rsidR="00000000" w:rsidRPr="00000000">
        <w:rPr>
          <w:rFonts w:ascii="Google Sans Text" w:cs="Google Sans Text" w:eastAsia="Google Sans Text" w:hAnsi="Google Sans Text"/>
          <w:i w:val="0"/>
          <w:color w:val="1b1c1d"/>
          <w:sz w:val="24"/>
          <w:szCs w:val="24"/>
          <w:rtl w:val="0"/>
        </w:rPr>
        <w:t xml:space="preserve"> Stood at EUR 378.0 billion.</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Total Equity:</w:t>
      </w:r>
      <w:r w:rsidDel="00000000" w:rsidR="00000000" w:rsidRPr="00000000">
        <w:rPr>
          <w:rFonts w:ascii="Google Sans Text" w:cs="Google Sans Text" w:eastAsia="Google Sans Text" w:hAnsi="Google Sans Text"/>
          <w:i w:val="0"/>
          <w:color w:val="1b1c1d"/>
          <w:sz w:val="24"/>
          <w:szCs w:val="24"/>
          <w:rtl w:val="0"/>
        </w:rPr>
        <w:t xml:space="preserve"> Increased to EUR 25.8 billion from EUR 25.0 billion in Q2 2024.</w:t>
      </w:r>
    </w:p>
    <w:p w:rsidR="00000000" w:rsidDel="00000000" w:rsidP="00000000" w:rsidRDefault="00000000" w:rsidRPr="00000000" w14:paraId="0000001A">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5. Credit and Risk Indicators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Credit quality improved, with key risk indicators remaining stable or declining.</w:t>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Cost of Risk:</w:t>
      </w:r>
      <w:r w:rsidDel="00000000" w:rsidR="00000000" w:rsidRPr="00000000">
        <w:rPr>
          <w:rFonts w:ascii="Google Sans Text" w:cs="Google Sans Text" w:eastAsia="Google Sans Text" w:hAnsi="Google Sans Text"/>
          <w:i w:val="0"/>
          <w:color w:val="1b1c1d"/>
          <w:sz w:val="24"/>
          <w:szCs w:val="24"/>
          <w:rtl w:val="0"/>
        </w:rPr>
        <w:t xml:space="preserve"> Remained low at -2 basis points, reflecting net impairment releases and strong credit quality.</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Forbearance Ratio:</w:t>
      </w:r>
      <w:r w:rsidDel="00000000" w:rsidR="00000000" w:rsidRPr="00000000">
        <w:rPr>
          <w:rFonts w:ascii="Google Sans Text" w:cs="Google Sans Text" w:eastAsia="Google Sans Text" w:hAnsi="Google Sans Text"/>
          <w:i w:val="0"/>
          <w:color w:val="1b1c1d"/>
          <w:sz w:val="24"/>
          <w:szCs w:val="24"/>
          <w:rtl w:val="0"/>
        </w:rPr>
        <w:t xml:space="preserve"> Declined to 2.0% from 2.2% in Q2 2024, indicating better credit portfolio health.</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Stage 3 Ratio (Non-Performing Loans):</w:t>
      </w:r>
      <w:r w:rsidDel="00000000" w:rsidR="00000000" w:rsidRPr="00000000">
        <w:rPr>
          <w:rFonts w:ascii="Google Sans Text" w:cs="Google Sans Text" w:eastAsia="Google Sans Text" w:hAnsi="Google Sans Text"/>
          <w:i w:val="0"/>
          <w:color w:val="1b1c1d"/>
          <w:sz w:val="24"/>
          <w:szCs w:val="24"/>
          <w:rtl w:val="0"/>
        </w:rPr>
        <w:t xml:space="preserve"> Held stable at a low 1.9%.</w:t>
      </w:r>
    </w:p>
    <w:p w:rsidR="00000000" w:rsidDel="00000000" w:rsidP="00000000" w:rsidRDefault="00000000" w:rsidRPr="00000000" w14:paraId="0000001F">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6. Strategic and Operational Updates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bank made significant progress on key strategic initiatives during the quarter.</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Sustainable Finance:</w:t>
      </w:r>
      <w:r w:rsidDel="00000000" w:rsidR="00000000" w:rsidRPr="00000000">
        <w:rPr>
          <w:rFonts w:ascii="Google Sans Text" w:cs="Google Sans Text" w:eastAsia="Google Sans Text" w:hAnsi="Google Sans Text"/>
          <w:i w:val="0"/>
          <w:color w:val="1b1c1d"/>
          <w:sz w:val="24"/>
          <w:szCs w:val="24"/>
          <w:rtl w:val="0"/>
        </w:rPr>
        <w:t xml:space="preserve"> Continued expansion with EUR 1 billion invested in early-stage, climate-focused projects.</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Digital Innovation:</w:t>
      </w:r>
      <w:r w:rsidDel="00000000" w:rsidR="00000000" w:rsidRPr="00000000">
        <w:rPr>
          <w:rFonts w:ascii="Google Sans Text" w:cs="Google Sans Text" w:eastAsia="Google Sans Text" w:hAnsi="Google Sans Text"/>
          <w:i w:val="0"/>
          <w:color w:val="1b1c1d"/>
          <w:sz w:val="24"/>
          <w:szCs w:val="24"/>
          <w:rtl w:val="0"/>
        </w:rPr>
        <w:t xml:space="preserve"> Enhanced digital banking capabilities, including the rollout of new fraud prevention tools within the ABN AMRO mobile app.</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Service:</w:t>
      </w:r>
      <w:r w:rsidDel="00000000" w:rsidR="00000000" w:rsidRPr="00000000">
        <w:rPr>
          <w:rFonts w:ascii="Google Sans Text" w:cs="Google Sans Text" w:eastAsia="Google Sans Text" w:hAnsi="Google Sans Text"/>
          <w:i w:val="0"/>
          <w:color w:val="1b1c1d"/>
          <w:sz w:val="24"/>
          <w:szCs w:val="24"/>
          <w:rtl w:val="0"/>
        </w:rPr>
        <w:t xml:space="preserve"> Received recognition for product innovation and customer service, being named "Best Benelux Broker" for the third consecutive year.</w:t>
      </w:r>
    </w:p>
    <w:p w:rsidR="00000000" w:rsidDel="00000000" w:rsidP="00000000" w:rsidRDefault="00000000" w:rsidRPr="00000000" w14:paraId="00000024">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7. Market Conditions and Outlook</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operating environment is favorable, but management remains cautious about future regulatory changes.</w:t>
      </w:r>
    </w:p>
    <w:p w:rsidR="00000000" w:rsidDel="00000000" w:rsidP="00000000" w:rsidRDefault="00000000" w:rsidRPr="00000000" w14:paraId="00000026">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Market Conditions:</w:t>
      </w:r>
      <w:r w:rsidDel="00000000" w:rsidR="00000000" w:rsidRPr="00000000">
        <w:rPr>
          <w:rFonts w:ascii="Google Sans Text" w:cs="Google Sans Text" w:eastAsia="Google Sans Text" w:hAnsi="Google Sans Text"/>
          <w:i w:val="0"/>
          <w:color w:val="1b1c1d"/>
          <w:sz w:val="24"/>
          <w:szCs w:val="24"/>
          <w:rtl w:val="0"/>
        </w:rPr>
        <w:t xml:space="preserve"> The Dutch housing market shows sustained growth (4% price increase from Q2 2024), supported by favorable macroeconomic conditions like low unemployment and declining inflation.</w:t>
      </w:r>
    </w:p>
    <w:p w:rsidR="00000000" w:rsidDel="00000000" w:rsidP="00000000" w:rsidRDefault="00000000" w:rsidRPr="00000000" w14:paraId="00000027">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Regulatory Outlook:</w:t>
      </w:r>
      <w:r w:rsidDel="00000000" w:rsidR="00000000" w:rsidRPr="00000000">
        <w:rPr>
          <w:rFonts w:ascii="Google Sans Text" w:cs="Google Sans Text" w:eastAsia="Google Sans Text" w:hAnsi="Google Sans Text"/>
          <w:i w:val="0"/>
          <w:color w:val="1b1c1d"/>
          <w:sz w:val="24"/>
          <w:szCs w:val="24"/>
          <w:rtl w:val="0"/>
        </w:rPr>
        <w:t xml:space="preserve"> Management expressed caution regarding the potential impacts of the upcoming Basel IV implementation. As a result, a formal capital assessment has been postponed to Q2 2025.</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