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80"/>
              <w:bottom w:type="dxa" w:w="240"/>
              <w:right w:type="dxa" w:w="280"/>
            </w:tcMar>
          </w:tcPr>
          <w:p>
            <w:pPr>
              <w:spacing w:after="80" w:before="0"/>
              <w:jc w:val="left"/>
            </w:pPr>
            <w:r>
              <w:rPr>
                <w:rFonts w:ascii="Arial" w:cs="Arial" w:eastAsia="Arial" w:hAnsi="Arial"/>
                <w:b w:val="false"/>
                <w:bCs w:val="false"/>
                <w:i/>
                <w:iCs/>
                <w:color w:val="BDC3C7"/>
                <w:sz w:val="18"/>
                <w:szCs w:val="18"/>
              </w:rPr>
              <w:t xml:space="preserve">TechBridge Solutions Ltd</w:t>
            </w:r>
          </w:p>
          <w:p>
            <w:pPr>
              <w:spacing w:after="80" w:before="0"/>
              <w:jc w:val="left"/>
            </w:pPr>
            <w:r>
              <w:rPr>
                <w:rFonts w:ascii="Arial" w:cs="Arial" w:eastAsia="Arial" w:hAnsi="Arial"/>
                <w:b/>
                <w:bCs/>
                <w:i w:val="false"/>
                <w:iCs w:val="false"/>
                <w:color w:val="FFFFFF"/>
                <w:sz w:val="34"/>
                <w:szCs w:val="34"/>
              </w:rPr>
              <w:t xml:space="preserve">Access Control Policy</w:t>
            </w:r>
          </w:p>
          <w:p>
            <w:pPr>
              <w:spacing w:after="0" w:before="0"/>
              <w:jc w:val="left"/>
            </w:pPr>
            <w:r>
              <w:rPr>
                <w:rFonts w:ascii="Arial" w:cs="Arial" w:eastAsia="Arial" w:hAnsi="Arial"/>
                <w:b w:val="false"/>
                <w:bCs w:val="false"/>
                <w:i/>
                <w:iCs/>
                <w:color w:val="BDC3C7"/>
                <w:sz w:val="17"/>
                <w:szCs w:val="17"/>
              </w:rPr>
              <w:t xml:space="preserve">ISO 27001:2022 — Annex A.5.15 | A.5.16 | A.5.17 | A.5.18</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1. Document Control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Access Control Policy</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Document ID</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TBSOL-POL-001</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1.0</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Internal</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Information Security Manager</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Approved By</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Chief Executive Officer</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Date Approved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01 July 2026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Next Review Date</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01 July 2027</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ISO 27001 Ref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Annex A.5.15, A.5.16, A.5.17, A.5.18</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Related Policies</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Incident Response Policy | Data Classification Policy | Remote Working Policy</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2. Purpose</w:t>
      </w:r>
    </w:p>
    <w:p>
      <w:pPr>
        <w:spacing w:after="180" w:before="0"/>
        <w:jc w:val="left"/>
      </w:pPr>
      <w:r>
        <w:rPr>
          <w:rFonts w:ascii="Arial" w:cs="Arial" w:eastAsia="Arial" w:hAnsi="Arial"/>
          <w:b w:val="false"/>
          <w:bCs w:val="false"/>
          <w:i w:val="false"/>
          <w:iCs w:val="false"/>
          <w:color w:val="1A1A1A"/>
          <w:sz w:val="20"/>
          <w:szCs w:val="20"/>
        </w:rPr>
        <w:t xml:space="preserve">This Access Control Policy establishes the rules and requirements governing how TechBridge Solutions Ltd manages access to its information assets, systems, and data. The purpose of this policy is to ensure that access to information is granted only to authorised individuals, based on legitimate business need, and in a manner proportionate to the classification level of the asset being accessed.</w:t>
      </w:r>
    </w:p>
    <w:p>
      <w:pPr>
        <w:spacing w:after="80" w:before="0"/>
      </w:pPr>
    </w:p>
    <w:p>
      <w:pPr>
        <w:spacing w:after="180" w:before="0"/>
        <w:jc w:val="left"/>
      </w:pPr>
      <w:r>
        <w:rPr>
          <w:rFonts w:ascii="Arial" w:cs="Arial" w:eastAsia="Arial" w:hAnsi="Arial"/>
          <w:b w:val="false"/>
          <w:bCs w:val="false"/>
          <w:i w:val="false"/>
          <w:iCs w:val="false"/>
          <w:color w:val="1A1A1A"/>
          <w:sz w:val="20"/>
          <w:szCs w:val="20"/>
        </w:rPr>
        <w:t xml:space="preserve">This policy supports TechBridge Solutions' ISO 27001:2022 certification obligations and compliance with GDPR Article 32, NIS2 Article 21(2)(i), and DORA Article 9. As a cybersecurity consultancy holding privileged access to government client systems, TechBridge recognises that access control is its single most critical security discipline.</w:t>
      </w:r>
    </w:p>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3. Scope</w:t>
      </w:r>
    </w:p>
    <w:p>
      <w:pPr>
        <w:spacing w:after="180" w:before="0"/>
        <w:jc w:val="left"/>
      </w:pPr>
      <w:r>
        <w:rPr>
          <w:rFonts w:ascii="Arial" w:cs="Arial" w:eastAsia="Arial" w:hAnsi="Arial"/>
          <w:b w:val="false"/>
          <w:bCs w:val="false"/>
          <w:i w:val="false"/>
          <w:iCs w:val="false"/>
          <w:color w:val="1A1A1A"/>
          <w:sz w:val="20"/>
          <w:szCs w:val="20"/>
        </w:rPr>
        <w:t xml:space="preserve">This policy applies to:</w:t>
      </w:r>
    </w:p>
    <w:p>
      <w:pPr>
        <w:spacing w:after="60" w:before="0"/>
      </w:pPr>
    </w:p>
    <w:p>
      <w:pPr>
        <w:pStyle w:val="ListParagraph"/>
        <w:numPr>
          <w:ilvl w:val="0"/>
          <w:numId w:val="2"/>
        </w:numPr>
        <w:spacing w:after="80" w:before="0"/>
      </w:pPr>
      <w:r>
        <w:rPr>
          <w:rFonts w:ascii="Arial" w:cs="Arial" w:eastAsia="Arial" w:hAnsi="Arial"/>
          <w:b w:val="false"/>
          <w:bCs w:val="false"/>
          <w:i w:val="false"/>
          <w:iCs w:val="false"/>
          <w:color w:val="1A1A1A"/>
          <w:sz w:val="20"/>
          <w:szCs w:val="20"/>
        </w:rPr>
        <w:t xml:space="preserve">All 100 permanent and contract staff employed by TechBridge Solutions Ltd</w:t>
      </w:r>
    </w:p>
    <w:p>
      <w:pPr>
        <w:pStyle w:val="ListParagraph"/>
        <w:numPr>
          <w:ilvl w:val="0"/>
          <w:numId w:val="2"/>
        </w:numPr>
        <w:spacing w:after="80" w:before="0"/>
      </w:pPr>
      <w:r>
        <w:rPr>
          <w:rFonts w:ascii="Arial" w:cs="Arial" w:eastAsia="Arial" w:hAnsi="Arial"/>
          <w:b w:val="false"/>
          <w:bCs w:val="false"/>
          <w:i w:val="false"/>
          <w:iCs w:val="false"/>
          <w:color w:val="1A1A1A"/>
          <w:sz w:val="20"/>
          <w:szCs w:val="20"/>
        </w:rPr>
        <w:t xml:space="preserve">All information assets listed in the TechBridge Information Asset Inventory (TBSOL-DOC-001)</w:t>
      </w:r>
    </w:p>
    <w:p>
      <w:pPr>
        <w:pStyle w:val="ListParagraph"/>
        <w:numPr>
          <w:ilvl w:val="0"/>
          <w:numId w:val="2"/>
        </w:numPr>
        <w:spacing w:after="80" w:before="0"/>
      </w:pPr>
      <w:r>
        <w:rPr>
          <w:rFonts w:ascii="Arial" w:cs="Arial" w:eastAsia="Arial" w:hAnsi="Arial"/>
          <w:b w:val="false"/>
          <w:bCs w:val="false"/>
          <w:i w:val="false"/>
          <w:iCs w:val="false"/>
          <w:color w:val="1A1A1A"/>
          <w:sz w:val="20"/>
          <w:szCs w:val="20"/>
        </w:rPr>
        <w:t xml:space="preserve">All systems, applications, and cloud services used to conduct TechBridge business</w:t>
      </w:r>
    </w:p>
    <w:p>
      <w:pPr>
        <w:pStyle w:val="ListParagraph"/>
        <w:numPr>
          <w:ilvl w:val="0"/>
          <w:numId w:val="2"/>
        </w:numPr>
        <w:spacing w:after="80" w:before="0"/>
      </w:pPr>
      <w:r>
        <w:rPr>
          <w:rFonts w:ascii="Arial" w:cs="Arial" w:eastAsia="Arial" w:hAnsi="Arial"/>
          <w:b w:val="false"/>
          <w:bCs w:val="false"/>
          <w:i w:val="false"/>
          <w:iCs w:val="false"/>
          <w:color w:val="1A1A1A"/>
          <w:sz w:val="20"/>
          <w:szCs w:val="20"/>
        </w:rPr>
        <w:t xml:space="preserve">All client system access provisioned for the purpose of security engagements</w:t>
      </w:r>
    </w:p>
    <w:p>
      <w:pPr>
        <w:pStyle w:val="ListParagraph"/>
        <w:numPr>
          <w:ilvl w:val="0"/>
          <w:numId w:val="2"/>
        </w:numPr>
        <w:spacing w:after="80" w:before="0"/>
      </w:pPr>
      <w:r>
        <w:rPr>
          <w:rFonts w:ascii="Arial" w:cs="Arial" w:eastAsia="Arial" w:hAnsi="Arial"/>
          <w:b w:val="false"/>
          <w:bCs w:val="false"/>
          <w:i w:val="false"/>
          <w:iCs w:val="false"/>
          <w:color w:val="1A1A1A"/>
          <w:sz w:val="20"/>
          <w:szCs w:val="20"/>
        </w:rPr>
        <w:t xml:space="preserve">All third-party suppliers and contractors with access to TechBridge systems or data</w:t>
      </w:r>
    </w:p>
    <w:p>
      <w:pPr>
        <w:spacing w:after="80" w:before="0"/>
      </w:pPr>
    </w:p>
    <w:p>
      <w:pPr>
        <w:spacing w:after="180" w:before="0"/>
        <w:jc w:val="left"/>
      </w:pPr>
      <w:r>
        <w:rPr>
          <w:rFonts w:ascii="Arial" w:cs="Arial" w:eastAsia="Arial" w:hAnsi="Arial"/>
          <w:b w:val="false"/>
          <w:bCs w:val="false"/>
          <w:i w:val="false"/>
          <w:iCs w:val="false"/>
          <w:color w:val="1A1A1A"/>
          <w:sz w:val="20"/>
          <w:szCs w:val="20"/>
        </w:rPr>
        <w:t xml:space="preserve">This policy applies regardless of whether access is granted from the Dublin 2 office, a remote location, a client site, or any other location.</w:t>
      </w:r>
    </w:p>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4. Roles and Responsibilities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Role</w:t>
            </w:r>
          </w:p>
        </w:tc>
        <w:tc>
          <w:tcPr>
            <w:tcW w:type="dxa" w:w="6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Access Control Responsibilities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Information Security Manager (ISM)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Owns this policy. Reviews and updates annually. Approves all privileged access requests. Oversees access recertification process.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IT Manager</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Implements access controls technically. Provisions and deprovisions accounts. Maintains identity management systems. Executes offboarding checklist.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HR Manager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Notifies IT Manager of all joiners, movers, and leavers within 24 hours of confirmed status change. Maintains employment records.</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Line Managers</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Submit formal access requests for direct reports. Approve or reject access requests within their area. Participate in quarterly access reviews.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All Staff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Use only the access granted to them. Never share credentials. Report suspicious access or unusual system behaviour to the ISM immediately.</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Project Managers</w:t>
            </w:r>
          </w:p>
        </w:tc>
        <w:tc>
          <w:tcPr>
            <w:tcW w:type="dxa" w:w="6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Responsible for revoking client system access at project closure. Complete credential revocation checklist and confirm to ISM within 48 hours.</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5. User Access Rules</w:t>
      </w:r>
    </w:p>
    <w:p>
      <w:pPr>
        <w:spacing w:after="180" w:before="0"/>
        <w:jc w:val="left"/>
      </w:pPr>
      <w:r>
        <w:rPr>
          <w:rFonts w:ascii="Arial" w:cs="Arial" w:eastAsia="Arial" w:hAnsi="Arial"/>
          <w:b w:val="false"/>
          <w:bCs w:val="false"/>
          <w:i w:val="false"/>
          <w:iCs w:val="false"/>
          <w:color w:val="1A1A1A"/>
          <w:sz w:val="20"/>
          <w:szCs w:val="20"/>
        </w:rPr>
        <w:t xml:space="preserve">The following rules govern the provisioning, modification, and revocation of all user access at TechBridge Solutions. These rules apply to all systems and all staff without exception.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Rule</w:t>
            </w:r>
          </w:p>
        </w:tc>
        <w:tc>
          <w:tcPr>
            <w:tcW w:type="dxa" w:w="6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Least Privilege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users are granted the minimum level of access required to perform their job function. No access is granted by default.</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Need to Know</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Access to Confidential and Restricted assets is granted only where there is a clear, documented business need.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Unique Identities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Every user must have a unique, individual account. Shared accounts are prohibited. Generic or group accounts require ISM written approval.</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Formal Request and Approval</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access requests must be submitted in writing to the IT Manager and approved by the relevant line manager before access is provisioned.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Joiners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Access provisioned on first working day based on role profile. Line manager approves role profile before start date. HR notifies IT 5 working days in advance.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Movers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Access modified within 24 hours of confirmed role change. Previous access revoked. New access provisioned based on new role profile. Line manager approves.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Leavers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access revoked on final working day — or immediately in cases of dismissal. IT Manager executes full offboarding checklist. HR confirms completion.</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Client System Access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Temporary credentials for client engagements stored in encrypted vault only. Shared on need-to-know basis. Revoked within 48 hours of project closure.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Access Review</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user access rights reviewed every 6 months by line managers. Findings reported to ISM. Unnecessary access revoked within 5 working days of review.</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6. Privileged Access</w:t>
      </w:r>
    </w:p>
    <w:p>
      <w:pPr>
        <w:spacing w:after="180" w:before="0"/>
        <w:jc w:val="left"/>
      </w:pPr>
      <w:r>
        <w:rPr>
          <w:rFonts w:ascii="Arial" w:cs="Arial" w:eastAsia="Arial" w:hAnsi="Arial"/>
          <w:b w:val="false"/>
          <w:bCs w:val="false"/>
          <w:i w:val="false"/>
          <w:iCs w:val="false"/>
          <w:color w:val="1A1A1A"/>
          <w:sz w:val="20"/>
          <w:szCs w:val="20"/>
        </w:rPr>
        <w:t xml:space="preserve">Privileged access — including system administrator rights, root access, and standing access to client systems — presents the highest access control risk at TechBridge Solutions. The following controls apply in addition to the standard user access rules above, and take precedence where any conflict arises.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E3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Control</w:t>
            </w:r>
          </w:p>
        </w:tc>
        <w:tc>
          <w:tcPr>
            <w:tcW w:type="dxa" w:w="6160"/>
            <w:tcBorders>
              <w:top w:val="single" w:color="CCCCCC" w:sz="1"/>
              <w:left w:val="single" w:color="CCCCCC" w:sz="1"/>
              <w:bottom w:val="single" w:color="CCCCCC" w:sz="1"/>
              <w:right w:val="single" w:color="CCCCCC" w:sz="1"/>
            </w:tcBorders>
            <w:shd w:fill="1A5E3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Requirement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Separate Accounts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administrators must use a separate privileged account for administrative tasks — distinct from their standard day-to-day user account.</w:t>
            </w:r>
          </w:p>
        </w:tc>
      </w:tr>
      <w:tr>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Approval Required</w:t>
            </w:r>
          </w:p>
        </w:tc>
        <w:tc>
          <w:tcPr>
            <w:tcW w:type="dxa" w:w="6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Privileged access requests must be approved by the ISM in writing. Line manager approval alone is insufficient for privileged access.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MFA Mandatory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Multi-factor authentication is mandatory on all privileged accounts without exception. This applies to all systems including cloud platforms.</w:t>
            </w:r>
          </w:p>
        </w:tc>
      </w:tr>
      <w:tr>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No Shared Admin Accounts</w:t>
            </w:r>
          </w:p>
        </w:tc>
        <w:tc>
          <w:tcPr>
            <w:tcW w:type="dxa" w:w="6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Shared administrator accounts are strictly prohibited. Each administrator must have their own uniquely identified privileged account.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Session Logging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privileged access sessions are logged via the SIEM. Logs are reviewed by the ISM monthly for anomalous activity.</w:t>
            </w:r>
          </w:p>
        </w:tc>
      </w:tr>
      <w:tr>
        <w:tc>
          <w:tcPr>
            <w:tcW w:type="dxa" w:w="3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Quarterly Review</w:t>
            </w:r>
          </w:p>
        </w:tc>
        <w:tc>
          <w:tcPr>
            <w:tcW w:type="dxa" w:w="6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Privileged access rights are reviewed by the ISM every 3 months — more frequently than standard access. Unused rights are revoked immediately.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5E3A"/>
                <w:sz w:val="19"/>
                <w:szCs w:val="19"/>
              </w:rPr>
              <w:t xml:space="preserve">Time-Limited Access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Temporary privileged access for project work is granted for a defined period only. Access automatically expires and must be re-requested if still required.</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7. Password Standards</w:t>
      </w:r>
    </w:p>
    <w:p>
      <w:pPr>
        <w:spacing w:after="180" w:before="0"/>
        <w:jc w:val="left"/>
      </w:pPr>
      <w:r>
        <w:rPr>
          <w:rFonts w:ascii="Arial" w:cs="Arial" w:eastAsia="Arial" w:hAnsi="Arial"/>
          <w:b w:val="false"/>
          <w:bCs w:val="false"/>
          <w:i w:val="false"/>
          <w:iCs w:val="false"/>
          <w:color w:val="1A1A1A"/>
          <w:sz w:val="20"/>
          <w:szCs w:val="20"/>
        </w:rPr>
        <w:t xml:space="preserve">TechBridge Solutions' password standards are aligned to NIST Special Publication 800-63b Digital Identity Guidelines. NIST 800-63b prioritises password length and uniqueness over forced complexity and periodic rotation — which research has shown to result in weaker, more predictable passwords. These standards apply to all TechBridge systems and accounts.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Standard</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Requirement (NIST SP 800-63b Aligned)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Minimum Length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Standard accounts: minimum 12 characters. Privileged accounts: minimum 16 characters.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Complexity</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No mandatory character complexity rules (NIST 800-63b). Length and uniqueness take precedence over complexity requirements.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No Periodic Rotation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Passwords are NOT required to be changed on a fixed schedule (NIST 800-63b). Passwords are changed only when compromise is known or suspected.</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No Password Hints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Password hints and security questions are prohibited on all TechBridge systems.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Password Manager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staff must use the company-approved password manager (1Password Teams) for all corporate accounts. Passwords must not be recorded elsewhere.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Default Passwords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default vendor passwords must be changed before a system is connected to the TechBridge network. No exceptions.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Compromised Passwords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If a password is known or suspected to be compromised, it must be changed immediately and the incident reported to the ISM.</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Multi-Factor Authentication</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MFA is required on all cloud systems, remote access, and privileged accounts. Password alone is not acceptable for these systems.</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8. Remote Access</w:t>
      </w:r>
    </w:p>
    <w:p>
      <w:pPr>
        <w:spacing w:after="180" w:before="0"/>
        <w:jc w:val="left"/>
      </w:pPr>
      <w:r>
        <w:rPr>
          <w:rFonts w:ascii="Arial" w:cs="Arial" w:eastAsia="Arial" w:hAnsi="Arial"/>
          <w:b w:val="false"/>
          <w:bCs w:val="false"/>
          <w:i w:val="false"/>
          <w:iCs w:val="false"/>
          <w:color w:val="1A1A1A"/>
          <w:sz w:val="20"/>
          <w:szCs w:val="20"/>
        </w:rPr>
        <w:t xml:space="preserve">TechBridge Solutions operates a hybrid working model with consultants regularly working from client premises, home offices, and other remote locations. The following requirements apply to all remote access to TechBridge systems and data, in addition to all other sections of this policy.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7D660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Requirement</w:t>
            </w:r>
          </w:p>
        </w:tc>
        <w:tc>
          <w:tcPr>
            <w:tcW w:type="dxa" w:w="6160"/>
            <w:tcBorders>
              <w:top w:val="single" w:color="CCCCCC" w:sz="1"/>
              <w:left w:val="single" w:color="CCCCCC" w:sz="1"/>
              <w:bottom w:val="single" w:color="CCCCCC" w:sz="1"/>
              <w:right w:val="single" w:color="CCCCCC" w:sz="1"/>
            </w:tcBorders>
            <w:shd w:fill="7D660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VPN Mandatory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All remote access to TechBridge systems must be via the company-approved VPN. Direct access without VPN is prohibited.</w:t>
            </w:r>
          </w:p>
        </w:tc>
      </w:tr>
      <w:tr>
        <w:tc>
          <w:tcPr>
            <w:tcW w:type="dxa" w:w="3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MFA Required</w:t>
            </w:r>
          </w:p>
        </w:tc>
        <w:tc>
          <w:tcPr>
            <w:tcW w:type="dxa" w:w="61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MFA is required for all remote access sessions without exception, regardless of device or location.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Approved Devices Only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Remote access is permitted only from company-issued, encrypted, MDM-enrolled devices. Personal devices are not permitted for remote access.</w:t>
            </w:r>
          </w:p>
        </w:tc>
      </w:tr>
      <w:tr>
        <w:tc>
          <w:tcPr>
            <w:tcW w:type="dxa" w:w="3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Clean Desk at Home</w:t>
            </w:r>
          </w:p>
        </w:tc>
        <w:tc>
          <w:tcPr>
            <w:tcW w:type="dxa" w:w="61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Staff working remotely must ensure screens cannot be viewed by others. Client documents must not be printed at home.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Public Wi-Fi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Public Wi-Fi networks must not be used for TechBridge work unless the VPN is active. Mobile data is preferred over public Wi-Fi.</w:t>
            </w:r>
          </w:p>
        </w:tc>
      </w:tr>
      <w:tr>
        <w:tc>
          <w:tcPr>
            <w:tcW w:type="dxa" w:w="32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Client Site Working</w:t>
            </w:r>
          </w:p>
        </w:tc>
        <w:tc>
          <w:tcPr>
            <w:tcW w:type="dxa" w:w="61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When working on client premises, consultants must follow the client's security requirements in addition to this policy.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7D6608"/>
                <w:sz w:val="19"/>
                <w:szCs w:val="19"/>
              </w:rPr>
              <w:t xml:space="preserve">Screen Lock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Devices must be locked immediately when left unattended. Automatic screen lock is set to 5 minutes inactivity on all company devices.</w:t>
            </w:r>
          </w:p>
        </w:tc>
      </w:tr>
    </w:tbl>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9. Review Cycle</w:t>
      </w:r>
    </w:p>
    <w:p>
      <w:pPr>
        <w:spacing w:after="180" w:before="0"/>
        <w:jc w:val="left"/>
      </w:pPr>
      <w:r>
        <w:rPr>
          <w:rFonts w:ascii="Arial" w:cs="Arial" w:eastAsia="Arial" w:hAnsi="Arial"/>
          <w:b w:val="false"/>
          <w:bCs w:val="false"/>
          <w:i w:val="false"/>
          <w:iCs w:val="false"/>
          <w:color w:val="1A1A1A"/>
          <w:sz w:val="20"/>
          <w:szCs w:val="20"/>
        </w:rPr>
        <w:t xml:space="preserve">This policy is a living document. It must be reviewed and updated to remain current, effective, and compliant with applicable regulatory requirements. The following triggers require a policy review: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Review Trigger</w:t>
            </w:r>
          </w:p>
        </w:tc>
        <w:tc>
          <w:tcPr>
            <w:tcW w:type="dxa" w:w="6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9"/>
                <w:szCs w:val="19"/>
              </w:rPr>
              <w:t xml:space="preserve">Action Required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Annual Review</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This policy is reviewed annually by the ISM and approved by the CEO. Next scheduled review: 01 July 2027.</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Post-Incident</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Policy reviewed immediately following any access control-related security incident. Changes implemented within 30 days.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Regulatory Change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Policy reviewed within 60 days of any change to GDPR, NIS2, DORA, or ISO 27001 requirements affecting access control.</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1A1A1A"/>
                <w:sz w:val="19"/>
                <w:szCs w:val="19"/>
              </w:rPr>
              <w:t xml:space="preserve">Significant Business Change</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Policy reviewed when TechBridge undergoes significant change — new systems, new client types, new offices, or significant headcount change.</w:t>
            </w:r>
          </w:p>
        </w:tc>
      </w:tr>
    </w:tbl>
    <w:p>
      <w:pPr>
        <w:spacing w:after="80" w:before="0"/>
      </w:pPr>
    </w:p>
    <w:p>
      <w:pPr>
        <w:spacing w:after="180" w:before="0"/>
        <w:jc w:val="left"/>
      </w:pPr>
      <w:r>
        <w:rPr>
          <w:rFonts w:ascii="Arial" w:cs="Arial" w:eastAsia="Arial" w:hAnsi="Arial"/>
          <w:b w:val="false"/>
          <w:bCs w:val="false"/>
          <w:i w:val="false"/>
          <w:iCs w:val="false"/>
          <w:color w:val="1A1A1A"/>
          <w:sz w:val="20"/>
          <w:szCs w:val="20"/>
        </w:rPr>
        <w:t xml:space="preserve">All revisions to this policy must be approved by the CEO before publication. Version history is maintained in the ISMS document control register (TBSOL-DOC-000). All staff are notified of policy updates within 5 working days of approval.</w:t>
      </w:r>
    </w:p>
    <w:p>
      <w:pPr>
        <w:spacing w:after="200" w:before="0"/>
      </w:pPr>
    </w:p>
    <w:p>
      <w:pPr>
        <w:pBdr>
          <w:bottom w:val="single" w:color="2E5090" w:sz="8" w:space="1"/>
        </w:pBdr>
        <w:spacing w:after="100" w:before="280"/>
      </w:pPr>
      <w:r>
        <w:rPr>
          <w:rFonts w:ascii="Arial" w:cs="Arial" w:eastAsia="Arial" w:hAnsi="Arial"/>
          <w:b/>
          <w:bCs/>
          <w:color w:val="2E5090"/>
          <w:sz w:val="24"/>
          <w:szCs w:val="24"/>
        </w:rPr>
        <w:t xml:space="preserve">10. Policy Owner and Approval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Information Security Manager — TechBridge Solutions Ltd</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Approved By</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Chief Executive Officer</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Date of Approval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01 July 2026</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Version</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1.0 — Initial Release</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Next Review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01 July 2027 — or earlier if a review trigger is met</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ISO 27001 Ref</w:t>
            </w:r>
          </w:p>
        </w:tc>
        <w:tc>
          <w:tcPr>
            <w:tcW w:type="dxa" w:w="6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A.5.1 (Policies) | A.5.15 (Access Control) | A.5.16 (Identity Management) | A.5.17 (Authentication) | A.5.18 (Access Rights)</w:t>
            </w:r>
          </w:p>
        </w:tc>
      </w:tr>
      <w:tr>
        <w:tc>
          <w:tcPr>
            <w:tcW w:type="dxa" w:w="2800"/>
            <w:tcBorders>
              <w:top w:val="single" w:color="CCCCCC" w:sz="1"/>
              <w:left w:val="single" w:color="CCCCCC" w:sz="1"/>
              <w:bottom w:val="single" w:color="CCCCCC" w:sz="1"/>
              <w:right w:val="single" w:color="CCCCCC" w:sz="1"/>
            </w:tcBorders>
            <w:shd w:fill="EBF0FA"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2E5090"/>
                <w:sz w:val="19"/>
                <w:szCs w:val="19"/>
              </w:rPr>
              <w:t xml:space="preserve">Related Frameworks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1A1A1A"/>
                <w:sz w:val="19"/>
                <w:szCs w:val="19"/>
              </w:rPr>
              <w:t xml:space="preserve">GDPR Art. 32 | NIS2 Art. 21(2)(i) | DORA Art. 9 | NIST SP 800-63b</w:t>
            </w:r>
          </w:p>
        </w:tc>
      </w:tr>
    </w:tbl>
    <w:p>
      <w:pPr>
        <w:spacing w:after="200" w:before="0"/>
      </w:pPr>
    </w:p>
    <w:p>
      <w:pPr>
        <w:pBdr>
          <w:top w:val="single" w:color="CCCCCC" w:sz="4" w:space="1"/>
        </w:pBdr>
        <w:spacing w:after="0" w:before="200"/>
      </w:pPr>
      <w:r>
        <w:rPr>
          <w:rFonts w:ascii="Arial" w:cs="Arial" w:eastAsia="Arial" w:hAnsi="Arial"/>
          <w:b w:val="false"/>
          <w:bCs w:val="false"/>
          <w:i w:val="false"/>
          <w:iCs w:val="false"/>
          <w:color w:val="555555"/>
          <w:sz w:val="16"/>
          <w:szCs w:val="16"/>
        </w:rPr>
        <w:t xml:space="preserve">TBSOL-POL-001  |  Version 1.0  |  Classification: Internal  |  </w:t>
      </w:r>
      <w:r>
        <w:rPr>
          <w:rFonts w:ascii="Arial" w:cs="Arial" w:eastAsia="Arial" w:hAnsi="Arial"/>
          <w:b w:val="false"/>
          <w:bCs w:val="false"/>
          <w:i/>
          <w:iCs/>
          <w:color w:val="555555"/>
          <w:sz w:val="16"/>
          <w:szCs w:val="16"/>
        </w:rPr>
        <w:t xml:space="preserve">This document is the property of TechBridge Solutions Ltd. Unauthorised distribution is prohibited.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2026-06-26T12:22:02.446Z</dcterms:created>
  <dcterms:modified xsi:type="dcterms:W3CDTF">2026-06-26T12:22:02.459Z</dcterms:modified>
</cp:coreProperties>
</file>

<file path=docProps/custom.xml><?xml version="1.0" encoding="utf-8"?>
<Properties xmlns="http://schemas.openxmlformats.org/officeDocument/2006/custom-properties" xmlns:vt="http://schemas.openxmlformats.org/officeDocument/2006/docPropsVTypes"/>
</file>