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3434" w14:paraId="756DF3F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200" w:type="dxa"/>
              <w:left w:w="240" w:type="dxa"/>
              <w:bottom w:w="200" w:type="dxa"/>
              <w:right w:w="240" w:type="dxa"/>
            </w:tcMar>
          </w:tcPr>
          <w:p w14:paraId="137986FC" w14:textId="094D7097" w:rsidR="005E3434" w:rsidRDefault="00667BF9">
            <w:pPr>
              <w:spacing w:after="80"/>
            </w:pPr>
            <w:r>
              <w:rPr>
                <w:b/>
                <w:bCs/>
                <w:color w:val="FFFFFF"/>
                <w:sz w:val="30"/>
                <w:szCs w:val="30"/>
              </w:rPr>
              <w:t xml:space="preserve"> </w:t>
            </w:r>
            <w:r w:rsidR="00000000">
              <w:rPr>
                <w:b/>
                <w:bCs/>
                <w:color w:val="FFFFFF"/>
                <w:sz w:val="30"/>
                <w:szCs w:val="30"/>
              </w:rPr>
              <w:t>GRC Multi-Framework Controls Mapping</w:t>
            </w:r>
          </w:p>
          <w:p w14:paraId="383C1E94" w14:textId="77777777" w:rsidR="005E3434" w:rsidRDefault="00000000">
            <w:r>
              <w:rPr>
                <w:i/>
                <w:iCs/>
                <w:color w:val="BDC3C7"/>
                <w:sz w:val="18"/>
                <w:szCs w:val="18"/>
              </w:rPr>
              <w:t>Executive Summary  |  ISO 27001:2022  ·  GDPR  ·  NIS2  ·  DORA</w:t>
            </w:r>
          </w:p>
        </w:tc>
      </w:tr>
    </w:tbl>
    <w:p w14:paraId="163579FE" w14:textId="77777777" w:rsidR="005E3434" w:rsidRDefault="005E343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E3434" w14:paraId="643A937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0FA"/>
            <w:tcMar>
              <w:top w:w="120" w:type="dxa"/>
              <w:left w:w="160" w:type="dxa"/>
              <w:bottom w:w="120" w:type="dxa"/>
              <w:right w:w="160" w:type="dxa"/>
            </w:tcMar>
          </w:tcPr>
          <w:p w14:paraId="1C95B35B" w14:textId="77777777" w:rsidR="005E3434" w:rsidRDefault="00000000">
            <w:r>
              <w:rPr>
                <w:b/>
                <w:bCs/>
                <w:color w:val="2E5090"/>
                <w:sz w:val="18"/>
                <w:szCs w:val="18"/>
              </w:rPr>
              <w:t xml:space="preserve">Author: </w:t>
            </w:r>
            <w:r>
              <w:rPr>
                <w:color w:val="1A1A1A"/>
                <w:sz w:val="18"/>
                <w:szCs w:val="18"/>
              </w:rPr>
              <w:t>Bhuvaneshwari Kundla</w:t>
            </w:r>
          </w:p>
        </w:tc>
        <w:tc>
          <w:tcPr>
            <w:tcW w:w="4680" w:type="dxa"/>
            <w:tcBorders>
              <w:top w:val="single" w:sz="1" w:space="0" w:color="CCCCCC"/>
              <w:left w:val="single" w:sz="1" w:space="0" w:color="CCCCCC"/>
              <w:bottom w:val="single" w:sz="1" w:space="0" w:color="CCCCCC"/>
              <w:right w:val="single" w:sz="1" w:space="0" w:color="CCCCCC"/>
            </w:tcBorders>
            <w:shd w:val="clear" w:color="auto" w:fill="EBF0FA"/>
            <w:tcMar>
              <w:top w:w="120" w:type="dxa"/>
              <w:left w:w="160" w:type="dxa"/>
              <w:bottom w:w="120" w:type="dxa"/>
              <w:right w:w="160" w:type="dxa"/>
            </w:tcMar>
          </w:tcPr>
          <w:p w14:paraId="360E78BC" w14:textId="77777777" w:rsidR="005E3434" w:rsidRDefault="00000000">
            <w:pPr>
              <w:jc w:val="right"/>
            </w:pPr>
            <w:r>
              <w:rPr>
                <w:i/>
                <w:iCs/>
                <w:color w:val="555555"/>
                <w:sz w:val="18"/>
                <w:szCs w:val="18"/>
              </w:rPr>
              <w:t>Project 7  |  GRC Portfolio  |  June 2026</w:t>
            </w:r>
          </w:p>
        </w:tc>
      </w:tr>
    </w:tbl>
    <w:p w14:paraId="363948C0" w14:textId="77777777" w:rsidR="005E3434" w:rsidRDefault="005E3434">
      <w:pPr>
        <w:spacing w:after="160"/>
      </w:pPr>
    </w:p>
    <w:p w14:paraId="4EA8D0E1" w14:textId="77777777" w:rsidR="005E3434" w:rsidRDefault="00000000">
      <w:pPr>
        <w:pBdr>
          <w:bottom w:val="single" w:sz="6" w:space="1" w:color="2E5090"/>
        </w:pBdr>
        <w:spacing w:before="280" w:after="120"/>
      </w:pPr>
      <w:r>
        <w:rPr>
          <w:b/>
          <w:bCs/>
          <w:color w:val="2E5090"/>
          <w:sz w:val="22"/>
          <w:szCs w:val="22"/>
        </w:rPr>
        <w:t>What This Mapping Shows</w:t>
      </w:r>
    </w:p>
    <w:p w14:paraId="3D622D7E" w14:textId="77777777" w:rsidR="005E3434" w:rsidRDefault="00000000">
      <w:pPr>
        <w:spacing w:after="200"/>
      </w:pPr>
      <w:r>
        <w:rPr>
          <w:color w:val="1A1A1A"/>
        </w:rPr>
        <w:t>This document maps 10 core information security control domains across four regulatory frameworks — ISO 27001:2022, GDPR, NIS2, and DORA — to identify where requirements overlap and where they diverge. The analysis demonstrates that the majority of obligations these frameworks impose on Irish organisations are not duplicated effort but shared ground: a structured implementation of ISO 27001 addresses the technical and organisational requirements of GDPR Article 32, satisfies the majority of NIS2 Article 21's ten mandatory measures, and provides the foundation for DORA's ICT risk management obligations. The practical implication is that an organisation which implements ISO 27001 rigorously and then conducts targeted gap work against the other three frameworks can achieve compliance across all four without building four separate programmes.</w:t>
      </w:r>
    </w:p>
    <w:p w14:paraId="7A7807DF" w14:textId="77777777" w:rsidR="005E3434" w:rsidRDefault="005E3434">
      <w:pPr>
        <w:spacing w:after="160"/>
      </w:pPr>
    </w:p>
    <w:p w14:paraId="69D2F2B1" w14:textId="77777777" w:rsidR="005E3434" w:rsidRDefault="00000000">
      <w:pPr>
        <w:pBdr>
          <w:bottom w:val="single" w:sz="6" w:space="1" w:color="1A5E3A"/>
        </w:pBdr>
        <w:spacing w:before="280" w:after="120"/>
      </w:pPr>
      <w:r>
        <w:rPr>
          <w:b/>
          <w:bCs/>
          <w:color w:val="1A5E3A"/>
          <w:sz w:val="22"/>
          <w:szCs w:val="22"/>
        </w:rPr>
        <w:t>Top 3 Overlapping Control Areas</w:t>
      </w:r>
    </w:p>
    <w:p w14:paraId="5CB553BB" w14:textId="77777777" w:rsidR="005E3434" w:rsidRDefault="005E343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E3434" w14:paraId="3977E8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5E3A"/>
            <w:tcMar>
              <w:top w:w="120" w:type="dxa"/>
              <w:left w:w="160" w:type="dxa"/>
              <w:bottom w:w="120" w:type="dxa"/>
              <w:right w:w="160" w:type="dxa"/>
            </w:tcMar>
            <w:vAlign w:val="center"/>
          </w:tcPr>
          <w:p w14:paraId="335A0833" w14:textId="77777777" w:rsidR="005E3434" w:rsidRDefault="00000000">
            <w:r>
              <w:rPr>
                <w:b/>
                <w:bCs/>
                <w:color w:val="FFFFFF"/>
                <w:sz w:val="18"/>
                <w:szCs w:val="18"/>
              </w:rPr>
              <w:t>Control Domain</w:t>
            </w:r>
          </w:p>
        </w:tc>
        <w:tc>
          <w:tcPr>
            <w:tcW w:w="7160" w:type="dxa"/>
            <w:tcBorders>
              <w:top w:val="single" w:sz="1" w:space="0" w:color="CCCCCC"/>
              <w:left w:val="single" w:sz="1" w:space="0" w:color="CCCCCC"/>
              <w:bottom w:val="single" w:sz="1" w:space="0" w:color="CCCCCC"/>
              <w:right w:val="single" w:sz="1" w:space="0" w:color="CCCCCC"/>
            </w:tcBorders>
            <w:shd w:val="clear" w:color="auto" w:fill="1A5E3A"/>
            <w:tcMar>
              <w:top w:w="120" w:type="dxa"/>
              <w:left w:w="160" w:type="dxa"/>
              <w:bottom w:w="120" w:type="dxa"/>
              <w:right w:w="160" w:type="dxa"/>
            </w:tcMar>
            <w:vAlign w:val="center"/>
          </w:tcPr>
          <w:p w14:paraId="1FF94926" w14:textId="77777777" w:rsidR="005E3434" w:rsidRDefault="00000000">
            <w:r>
              <w:rPr>
                <w:b/>
                <w:bCs/>
                <w:color w:val="FFFFFF"/>
                <w:sz w:val="18"/>
                <w:szCs w:val="18"/>
              </w:rPr>
              <w:t>Why All Four Frameworks Align Here</w:t>
            </w:r>
          </w:p>
        </w:tc>
      </w:tr>
      <w:tr w:rsidR="005E3434" w14:paraId="44D899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120" w:type="dxa"/>
              <w:left w:w="160" w:type="dxa"/>
              <w:bottom w:w="120" w:type="dxa"/>
              <w:right w:w="160" w:type="dxa"/>
            </w:tcMar>
          </w:tcPr>
          <w:p w14:paraId="48160152" w14:textId="77777777" w:rsidR="005E3434" w:rsidRDefault="00000000">
            <w:r>
              <w:rPr>
                <w:b/>
                <w:bCs/>
                <w:color w:val="1A5E3A"/>
                <w:sz w:val="19"/>
                <w:szCs w:val="19"/>
              </w:rPr>
              <w:t>Incident Response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0F3D7C5C" w14:textId="77777777" w:rsidR="005E3434" w:rsidRDefault="00000000">
            <w:r>
              <w:rPr>
                <w:color w:val="1A1A1A"/>
              </w:rPr>
              <w:t>Every framework requires documented incident detection, response, and reporting — but each has its own regulator and timeline. GDPR requires notification to the Data Protection Commission within 72 hours of a personal data breach. NIS2 requires a 24-hour early warning to the NCSC followed by a full report within 72 hours. DORA requires financial entities to notify the Central Bank at initial classification, with a full report within 72 hours and a final report within one month. A single incident can trigger all three reporting obligations simultaneously, making a unified incident response plan — designed to address all three timelines at once — the most immediately practical output of this mapping.</w:t>
            </w:r>
          </w:p>
        </w:tc>
      </w:tr>
      <w:tr w:rsidR="005E3434" w14:paraId="531B25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120" w:type="dxa"/>
              <w:left w:w="160" w:type="dxa"/>
              <w:bottom w:w="120" w:type="dxa"/>
              <w:right w:w="160" w:type="dxa"/>
            </w:tcMar>
          </w:tcPr>
          <w:p w14:paraId="4486D484" w14:textId="77777777" w:rsidR="005E3434" w:rsidRDefault="00000000">
            <w:r>
              <w:rPr>
                <w:b/>
                <w:bCs/>
                <w:color w:val="1A5E3A"/>
                <w:sz w:val="19"/>
                <w:szCs w:val="19"/>
              </w:rPr>
              <w:t>Risk Management</w:t>
            </w:r>
          </w:p>
        </w:tc>
        <w:tc>
          <w:tcPr>
            <w:tcW w:w="7160" w:type="dxa"/>
            <w:tcBorders>
              <w:top w:val="single" w:sz="1" w:space="0" w:color="CCCCCC"/>
              <w:left w:val="single" w:sz="1" w:space="0" w:color="CCCCCC"/>
              <w:bottom w:val="single" w:sz="1" w:space="0" w:color="CCCCCC"/>
              <w:right w:val="single" w:sz="1" w:space="0" w:color="CCCCCC"/>
            </w:tcBorders>
            <w:shd w:val="clear" w:color="auto" w:fill="F9F9F9"/>
            <w:tcMar>
              <w:top w:w="120" w:type="dxa"/>
              <w:left w:w="160" w:type="dxa"/>
              <w:bottom w:w="120" w:type="dxa"/>
              <w:right w:w="160" w:type="dxa"/>
            </w:tcMar>
          </w:tcPr>
          <w:p w14:paraId="0393AB31" w14:textId="77777777" w:rsidR="005E3434" w:rsidRDefault="00000000">
            <w:r>
              <w:rPr>
                <w:color w:val="1A1A1A"/>
              </w:rPr>
              <w:t>Risk assessment is the foundation all four frameworks build upon. ISO 27001 Clauses 6 and 8 require a documented risk assessment process producing a risk register and risk treatment plan. GDPR Article 35 requires a Data Protection Impact Assessment before high-risk processing. NIS2 Article 21(2)(a) mandates formal risk analysis and security policies for all in-scope entities. DORA Articles 6 and 7 require a board-approved ICT risk management framework with full asset visibility and dependency mapping. Organisations that implement a rigorous ISO 27001 risk assessment process are simultaneously satisfying the risk management requirements of the other three frameworks with minimal additional effort.</w:t>
            </w:r>
          </w:p>
        </w:tc>
      </w:tr>
      <w:tr w:rsidR="005E3434" w14:paraId="77AFE8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120" w:type="dxa"/>
              <w:left w:w="160" w:type="dxa"/>
              <w:bottom w:w="120" w:type="dxa"/>
              <w:right w:w="160" w:type="dxa"/>
            </w:tcMar>
          </w:tcPr>
          <w:p w14:paraId="536B6063" w14:textId="77777777" w:rsidR="005E3434" w:rsidRDefault="00000000">
            <w:r>
              <w:rPr>
                <w:b/>
                <w:bCs/>
                <w:color w:val="1A5E3A"/>
                <w:sz w:val="19"/>
                <w:szCs w:val="19"/>
              </w:rPr>
              <w:t>Governance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595D9F2A" w14:textId="77777777" w:rsidR="005E3434" w:rsidRDefault="00000000">
            <w:r>
              <w:rPr>
                <w:color w:val="1A1A1A"/>
              </w:rPr>
              <w:t xml:space="preserve">All four frameworks require demonstrable top management commitment to information security — not just a signed policy, but evidence of active board involvement. ISO 27001 Clause 5 makes this a mandatory structural requirement. GDPR Articles 24 and 37 require a named controller with accountability and, for qualifying organisations, an appointed Data Protection Officer. NIS2 Article 20 goes furthest, introducing personal liability for directors and senior managers if cybersecurity obligations are not met. </w:t>
            </w:r>
            <w:r>
              <w:rPr>
                <w:color w:val="1A1A1A"/>
              </w:rPr>
              <w:lastRenderedPageBreak/>
              <w:t>DORA Articles 5 and 13 require the management body to own ICT risk strategy and approve all related policies. Governance is therefore the area where Irish organisations face the highest regulatory risk if security continues to be treated as an IT function rather than a board-level responsibility.</w:t>
            </w:r>
          </w:p>
        </w:tc>
      </w:tr>
    </w:tbl>
    <w:p w14:paraId="328A5734" w14:textId="77777777" w:rsidR="005E3434" w:rsidRDefault="005E3434">
      <w:pPr>
        <w:spacing w:after="160"/>
      </w:pPr>
    </w:p>
    <w:p w14:paraId="00403458" w14:textId="77777777" w:rsidR="005E3434" w:rsidRDefault="00000000">
      <w:pPr>
        <w:pBdr>
          <w:bottom w:val="single" w:sz="6" w:space="1" w:color="7D6608"/>
        </w:pBdr>
        <w:spacing w:before="280" w:after="120"/>
      </w:pPr>
      <w:r>
        <w:rPr>
          <w:b/>
          <w:bCs/>
          <w:color w:val="7D6608"/>
          <w:sz w:val="22"/>
          <w:szCs w:val="22"/>
        </w:rPr>
        <w:t>Top 3 Framework-Unique Requirements</w:t>
      </w:r>
    </w:p>
    <w:p w14:paraId="3A24CE43" w14:textId="77777777" w:rsidR="005E3434" w:rsidRDefault="005E343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5960"/>
      </w:tblGrid>
      <w:tr w:rsidR="005E3434" w14:paraId="4BD5FA5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2E5090"/>
            <w:tcMar>
              <w:top w:w="120" w:type="dxa"/>
              <w:left w:w="160" w:type="dxa"/>
              <w:bottom w:w="120" w:type="dxa"/>
              <w:right w:w="160" w:type="dxa"/>
            </w:tcMar>
            <w:vAlign w:val="center"/>
          </w:tcPr>
          <w:p w14:paraId="3109C652" w14:textId="77777777" w:rsidR="005E3434" w:rsidRDefault="00000000">
            <w:r>
              <w:rPr>
                <w:b/>
                <w:bCs/>
                <w:color w:val="FFFFFF"/>
                <w:sz w:val="18"/>
                <w:szCs w:val="18"/>
              </w:rPr>
              <w:t>Framework</w:t>
            </w:r>
          </w:p>
        </w:tc>
        <w:tc>
          <w:tcPr>
            <w:tcW w:w="1800" w:type="dxa"/>
            <w:tcBorders>
              <w:top w:val="single" w:sz="1" w:space="0" w:color="CCCCCC"/>
              <w:left w:val="single" w:sz="1" w:space="0" w:color="CCCCCC"/>
              <w:bottom w:val="single" w:sz="1" w:space="0" w:color="CCCCCC"/>
              <w:right w:val="single" w:sz="1" w:space="0" w:color="CCCCCC"/>
            </w:tcBorders>
            <w:shd w:val="clear" w:color="auto" w:fill="2E5090"/>
            <w:tcMar>
              <w:top w:w="120" w:type="dxa"/>
              <w:left w:w="160" w:type="dxa"/>
              <w:bottom w:w="120" w:type="dxa"/>
              <w:right w:w="160" w:type="dxa"/>
            </w:tcMar>
            <w:vAlign w:val="center"/>
          </w:tcPr>
          <w:p w14:paraId="5F0A01D1" w14:textId="77777777" w:rsidR="005E3434" w:rsidRDefault="00000000">
            <w:r>
              <w:rPr>
                <w:b/>
                <w:bCs/>
                <w:color w:val="FFFFFF"/>
                <w:sz w:val="18"/>
                <w:szCs w:val="18"/>
              </w:rPr>
              <w:t>Unique Requirement</w:t>
            </w:r>
          </w:p>
        </w:tc>
        <w:tc>
          <w:tcPr>
            <w:tcW w:w="5960" w:type="dxa"/>
            <w:tcBorders>
              <w:top w:val="single" w:sz="1" w:space="0" w:color="CCCCCC"/>
              <w:left w:val="single" w:sz="1" w:space="0" w:color="CCCCCC"/>
              <w:bottom w:val="single" w:sz="1" w:space="0" w:color="CCCCCC"/>
              <w:right w:val="single" w:sz="1" w:space="0" w:color="CCCCCC"/>
            </w:tcBorders>
            <w:shd w:val="clear" w:color="auto" w:fill="2E5090"/>
            <w:tcMar>
              <w:top w:w="120" w:type="dxa"/>
              <w:left w:w="160" w:type="dxa"/>
              <w:bottom w:w="120" w:type="dxa"/>
              <w:right w:w="160" w:type="dxa"/>
            </w:tcMar>
            <w:vAlign w:val="center"/>
          </w:tcPr>
          <w:p w14:paraId="1DF49A73" w14:textId="77777777" w:rsidR="005E3434" w:rsidRDefault="00000000">
            <w:r>
              <w:rPr>
                <w:b/>
                <w:bCs/>
                <w:color w:val="FFFFFF"/>
                <w:sz w:val="18"/>
                <w:szCs w:val="18"/>
              </w:rPr>
              <w:t>Why No Other Framework Covers This</w:t>
            </w:r>
          </w:p>
        </w:tc>
      </w:tr>
      <w:tr w:rsidR="005E3434" w14:paraId="24AC306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EF9E7"/>
            <w:tcMar>
              <w:top w:w="120" w:type="dxa"/>
              <w:left w:w="160" w:type="dxa"/>
              <w:bottom w:w="120" w:type="dxa"/>
              <w:right w:w="160" w:type="dxa"/>
            </w:tcMar>
          </w:tcPr>
          <w:p w14:paraId="6AF240F5" w14:textId="77777777" w:rsidR="005E3434" w:rsidRDefault="00000000">
            <w:r>
              <w:rPr>
                <w:b/>
                <w:bCs/>
                <w:color w:val="7D6608"/>
                <w:sz w:val="19"/>
                <w:szCs w:val="19"/>
              </w:rPr>
              <w:t>GDPR</w:t>
            </w:r>
          </w:p>
        </w:tc>
        <w:tc>
          <w:tcPr>
            <w:tcW w:w="1800" w:type="dxa"/>
            <w:tcBorders>
              <w:top w:val="single" w:sz="1" w:space="0" w:color="CCCCCC"/>
              <w:left w:val="single" w:sz="1" w:space="0" w:color="CCCCCC"/>
              <w:bottom w:val="single" w:sz="1" w:space="0" w:color="CCCCCC"/>
              <w:right w:val="single" w:sz="1" w:space="0" w:color="CCCCCC"/>
            </w:tcBorders>
            <w:shd w:val="clear" w:color="auto" w:fill="FEF9E7"/>
            <w:tcMar>
              <w:top w:w="120" w:type="dxa"/>
              <w:left w:w="160" w:type="dxa"/>
              <w:bottom w:w="120" w:type="dxa"/>
              <w:right w:w="160" w:type="dxa"/>
            </w:tcMar>
          </w:tcPr>
          <w:p w14:paraId="6AB2F747" w14:textId="77777777" w:rsidR="005E3434" w:rsidRDefault="00000000">
            <w:r>
              <w:rPr>
                <w:b/>
                <w:bCs/>
                <w:color w:val="7D6608"/>
                <w:sz w:val="19"/>
                <w:szCs w:val="19"/>
              </w:rPr>
              <w:t>DPIA (Art. 35)</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6EC55DCB" w14:textId="77777777" w:rsidR="005E3434" w:rsidRDefault="00000000">
            <w:r>
              <w:rPr>
                <w:color w:val="1A1A1A"/>
              </w:rPr>
              <w:t>GDPR is the only framework that requires a formal Data Protection Impact Assessment before commencing high-risk processing — such as large-scale health data processing, systematic profiling, or public area monitoring. If the DPIA identifies risks that cannot be mitigated, the organisation must consult the Data Protection Commission before proceeding. This is a privacy-specific obligation with no equivalent in ISO 27001, NIS2, or DORA.</w:t>
            </w:r>
          </w:p>
        </w:tc>
      </w:tr>
      <w:tr w:rsidR="005E3434" w14:paraId="2C645CB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EF9E7"/>
            <w:tcMar>
              <w:top w:w="120" w:type="dxa"/>
              <w:left w:w="160" w:type="dxa"/>
              <w:bottom w:w="120" w:type="dxa"/>
              <w:right w:w="160" w:type="dxa"/>
            </w:tcMar>
          </w:tcPr>
          <w:p w14:paraId="7CC8C7FC" w14:textId="77777777" w:rsidR="005E3434" w:rsidRDefault="00000000">
            <w:r>
              <w:rPr>
                <w:b/>
                <w:bCs/>
                <w:color w:val="7D6608"/>
                <w:sz w:val="19"/>
                <w:szCs w:val="19"/>
              </w:rPr>
              <w:t>NIS2</w:t>
            </w:r>
          </w:p>
        </w:tc>
        <w:tc>
          <w:tcPr>
            <w:tcW w:w="1800" w:type="dxa"/>
            <w:tcBorders>
              <w:top w:val="single" w:sz="1" w:space="0" w:color="CCCCCC"/>
              <w:left w:val="single" w:sz="1" w:space="0" w:color="CCCCCC"/>
              <w:bottom w:val="single" w:sz="1" w:space="0" w:color="CCCCCC"/>
              <w:right w:val="single" w:sz="1" w:space="0" w:color="CCCCCC"/>
            </w:tcBorders>
            <w:shd w:val="clear" w:color="auto" w:fill="FEF9E7"/>
            <w:tcMar>
              <w:top w:w="120" w:type="dxa"/>
              <w:left w:w="160" w:type="dxa"/>
              <w:bottom w:w="120" w:type="dxa"/>
              <w:right w:w="160" w:type="dxa"/>
            </w:tcMar>
          </w:tcPr>
          <w:p w14:paraId="3DAD0B14" w14:textId="77777777" w:rsidR="005E3434" w:rsidRDefault="00000000">
            <w:r>
              <w:rPr>
                <w:b/>
                <w:bCs/>
                <w:color w:val="7D6608"/>
                <w:sz w:val="19"/>
                <w:szCs w:val="19"/>
              </w:rPr>
              <w:t>Director Personal Liability (Art. 20)</w:t>
            </w:r>
          </w:p>
        </w:tc>
        <w:tc>
          <w:tcPr>
            <w:tcW w:w="5960" w:type="dxa"/>
            <w:tcBorders>
              <w:top w:val="single" w:sz="1" w:space="0" w:color="CCCCCC"/>
              <w:left w:val="single" w:sz="1" w:space="0" w:color="CCCCCC"/>
              <w:bottom w:val="single" w:sz="1" w:space="0" w:color="CCCCCC"/>
              <w:right w:val="single" w:sz="1" w:space="0" w:color="CCCCCC"/>
            </w:tcBorders>
            <w:shd w:val="clear" w:color="auto" w:fill="F9F9F9"/>
            <w:tcMar>
              <w:top w:w="120" w:type="dxa"/>
              <w:left w:w="160" w:type="dxa"/>
              <w:bottom w:w="120" w:type="dxa"/>
              <w:right w:w="160" w:type="dxa"/>
            </w:tcMar>
          </w:tcPr>
          <w:p w14:paraId="328ED3E9" w14:textId="77777777" w:rsidR="005E3434" w:rsidRDefault="00000000">
            <w:r>
              <w:rPr>
                <w:color w:val="1A1A1A"/>
              </w:rPr>
              <w:t>NIS2 Article 20 is unique in that it attaches personal legal liability to individual directors and senior managers for failures to meet cybersecurity obligations. Where other frameworks impose fines on organisations, NIS2 can result in named individuals being held personally accountable — including temporary bans from management roles. This makes NIS2 governance obligations qualitatively different from the others and explains the sharp increase in board-level cybersecurity engagement across Irish organisations since transposition began.</w:t>
            </w:r>
          </w:p>
        </w:tc>
      </w:tr>
      <w:tr w:rsidR="005E3434" w14:paraId="7949373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EF9E7"/>
            <w:tcMar>
              <w:top w:w="120" w:type="dxa"/>
              <w:left w:w="160" w:type="dxa"/>
              <w:bottom w:w="120" w:type="dxa"/>
              <w:right w:w="160" w:type="dxa"/>
            </w:tcMar>
          </w:tcPr>
          <w:p w14:paraId="2145FF33" w14:textId="77777777" w:rsidR="005E3434" w:rsidRDefault="00000000">
            <w:r>
              <w:rPr>
                <w:b/>
                <w:bCs/>
                <w:color w:val="7D6608"/>
                <w:sz w:val="19"/>
                <w:szCs w:val="19"/>
              </w:rPr>
              <w:t>DORA</w:t>
            </w:r>
          </w:p>
        </w:tc>
        <w:tc>
          <w:tcPr>
            <w:tcW w:w="1800" w:type="dxa"/>
            <w:tcBorders>
              <w:top w:val="single" w:sz="1" w:space="0" w:color="CCCCCC"/>
              <w:left w:val="single" w:sz="1" w:space="0" w:color="CCCCCC"/>
              <w:bottom w:val="single" w:sz="1" w:space="0" w:color="CCCCCC"/>
              <w:right w:val="single" w:sz="1" w:space="0" w:color="CCCCCC"/>
            </w:tcBorders>
            <w:shd w:val="clear" w:color="auto" w:fill="FEF9E7"/>
            <w:tcMar>
              <w:top w:w="120" w:type="dxa"/>
              <w:left w:w="160" w:type="dxa"/>
              <w:bottom w:w="120" w:type="dxa"/>
              <w:right w:w="160" w:type="dxa"/>
            </w:tcMar>
          </w:tcPr>
          <w:p w14:paraId="155C00C7" w14:textId="77777777" w:rsidR="005E3434" w:rsidRDefault="00000000">
            <w:r>
              <w:rPr>
                <w:b/>
                <w:bCs/>
                <w:color w:val="7D6608"/>
                <w:sz w:val="19"/>
                <w:szCs w:val="19"/>
              </w:rPr>
              <w:t>Threat-Led Pen Testing (Art. 24)</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05967D15" w14:textId="77777777" w:rsidR="005E3434" w:rsidRDefault="00000000">
            <w:r>
              <w:rPr>
                <w:color w:val="1A1A1A"/>
              </w:rPr>
              <w:t>DORA Article 24 requires significant financial entities to undergo Threat-Led Penetration Testing — a form of advanced resilience testing where ethical hackers simulate real threat actor behaviour against live production systems. Unlike standard penetration testing, TLPT must be conducted by approved external testers, coordinated with the Central Bank, and repeated at least every three years. No other framework in this mapping mandates live production testing at this level, making it the most operationally demanding unique requirement across all four frameworks.</w:t>
            </w:r>
          </w:p>
        </w:tc>
      </w:tr>
    </w:tbl>
    <w:p w14:paraId="08D90A3D" w14:textId="77777777" w:rsidR="005E3434" w:rsidRDefault="005E3434">
      <w:pPr>
        <w:spacing w:after="160"/>
      </w:pPr>
    </w:p>
    <w:p w14:paraId="096A6901" w14:textId="77777777" w:rsidR="005E3434" w:rsidRDefault="00000000">
      <w:pPr>
        <w:pBdr>
          <w:bottom w:val="single" w:sz="6" w:space="1" w:color="1F3864"/>
        </w:pBdr>
        <w:spacing w:before="280" w:after="120"/>
      </w:pPr>
      <w:r>
        <w:rPr>
          <w:b/>
          <w:bCs/>
          <w:color w:val="1F3864"/>
          <w:sz w:val="22"/>
          <w:szCs w:val="22"/>
        </w:rPr>
        <w:t>Recommendation</w:t>
      </w:r>
    </w:p>
    <w:p w14:paraId="524B1099" w14:textId="77777777" w:rsidR="005E3434" w:rsidRDefault="005E343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3434" w14:paraId="35976DD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0FA"/>
            <w:tcMar>
              <w:top w:w="180" w:type="dxa"/>
              <w:left w:w="240" w:type="dxa"/>
              <w:bottom w:w="180" w:type="dxa"/>
              <w:right w:w="240" w:type="dxa"/>
            </w:tcMar>
          </w:tcPr>
          <w:p w14:paraId="24C89121" w14:textId="77777777" w:rsidR="005E3434" w:rsidRDefault="00000000">
            <w:pPr>
              <w:spacing w:after="100"/>
            </w:pPr>
            <w:r>
              <w:rPr>
                <w:b/>
                <w:bCs/>
                <w:color w:val="1F3864"/>
                <w:sz w:val="21"/>
                <w:szCs w:val="21"/>
              </w:rPr>
              <w:t>Recommendation: Implement Once, Satisfy All Four</w:t>
            </w:r>
          </w:p>
          <w:p w14:paraId="3D7466C5" w14:textId="77777777" w:rsidR="005E3434" w:rsidRDefault="00000000">
            <w:r>
              <w:rPr>
                <w:color w:val="1A1A1A"/>
              </w:rPr>
              <w:t xml:space="preserve">An Irish organisation facing simultaneous obligations under GDPR, NIS2, and DORA should not treat each framework as a separate compliance project. The most efficient and sustainable approach is to implement ISO 27001 as the unifying structure — establishing a risk register, Statement of Applicability, asset inventory, and core security policies — and then conduct targeted gap assessments to identify what each additional framework requires beyond that baseline. In </w:t>
            </w:r>
            <w:r>
              <w:rPr>
                <w:color w:val="1A1A1A"/>
              </w:rPr>
              <w:lastRenderedPageBreak/>
              <w:t>practice, this means: build your incident response plan to satisfy the most demanding reporting timeline (NIS2's 24-hour early warning); build your supplier management process to satisfy the most detailed requirement (DORA's mandatory contract clauses and exit strategies); and build your data protection practices to satisfy GDPR's specific obligations around DPIAs and individual rights. The result is a single, coherent security programme that satisfies four regulatory frameworks, reduces duplication of effort, and gives auditors a clear, documented evidence trail.</w:t>
            </w:r>
          </w:p>
        </w:tc>
      </w:tr>
    </w:tbl>
    <w:p w14:paraId="0D5E3FAE" w14:textId="77777777" w:rsidR="005E3434" w:rsidRDefault="00000000">
      <w:pPr>
        <w:spacing w:before="200"/>
      </w:pPr>
      <w:r>
        <w:rPr>
          <w:b/>
          <w:bCs/>
          <w:color w:val="555555"/>
          <w:sz w:val="16"/>
          <w:szCs w:val="16"/>
        </w:rPr>
        <w:lastRenderedPageBreak/>
        <w:t xml:space="preserve">Sources: </w:t>
      </w:r>
      <w:r>
        <w:rPr>
          <w:i/>
          <w:iCs/>
          <w:color w:val="555555"/>
          <w:sz w:val="16"/>
          <w:szCs w:val="16"/>
        </w:rPr>
        <w:t>ISO 27001:2022 Annex A  |  GDPR Articles 5, 24, 25, 28, 32-35  |  NIS2 Articles 20-21  |  DORA Articles 5-13, 17-19, 24, 28-30  |  dataprotection.ie  |  ncsc.gov.ie  |  centralbank.ie</w:t>
      </w:r>
    </w:p>
    <w:sectPr w:rsidR="005E343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5B6FD5"/>
    <w:multiLevelType w:val="hybridMultilevel"/>
    <w:tmpl w:val="18C246CE"/>
    <w:lvl w:ilvl="0" w:tplc="A96C2C2A">
      <w:start w:val="1"/>
      <w:numFmt w:val="bullet"/>
      <w:lvlText w:val="●"/>
      <w:lvlJc w:val="left"/>
      <w:pPr>
        <w:ind w:left="720" w:hanging="360"/>
      </w:pPr>
    </w:lvl>
    <w:lvl w:ilvl="1" w:tplc="93280B92">
      <w:start w:val="1"/>
      <w:numFmt w:val="bullet"/>
      <w:lvlText w:val="○"/>
      <w:lvlJc w:val="left"/>
      <w:pPr>
        <w:ind w:left="1440" w:hanging="360"/>
      </w:pPr>
    </w:lvl>
    <w:lvl w:ilvl="2" w:tplc="381CFCB4">
      <w:start w:val="1"/>
      <w:numFmt w:val="bullet"/>
      <w:lvlText w:val="■"/>
      <w:lvlJc w:val="left"/>
      <w:pPr>
        <w:ind w:left="2160" w:hanging="360"/>
      </w:pPr>
    </w:lvl>
    <w:lvl w:ilvl="3" w:tplc="1B724AE2">
      <w:start w:val="1"/>
      <w:numFmt w:val="bullet"/>
      <w:lvlText w:val="●"/>
      <w:lvlJc w:val="left"/>
      <w:pPr>
        <w:ind w:left="2880" w:hanging="360"/>
      </w:pPr>
    </w:lvl>
    <w:lvl w:ilvl="4" w:tplc="5434A0B4">
      <w:start w:val="1"/>
      <w:numFmt w:val="bullet"/>
      <w:lvlText w:val="○"/>
      <w:lvlJc w:val="left"/>
      <w:pPr>
        <w:ind w:left="3600" w:hanging="360"/>
      </w:pPr>
    </w:lvl>
    <w:lvl w:ilvl="5" w:tplc="9782E394">
      <w:start w:val="1"/>
      <w:numFmt w:val="bullet"/>
      <w:lvlText w:val="■"/>
      <w:lvlJc w:val="left"/>
      <w:pPr>
        <w:ind w:left="4320" w:hanging="360"/>
      </w:pPr>
    </w:lvl>
    <w:lvl w:ilvl="6" w:tplc="3E9E8C44">
      <w:start w:val="1"/>
      <w:numFmt w:val="bullet"/>
      <w:lvlText w:val="●"/>
      <w:lvlJc w:val="left"/>
      <w:pPr>
        <w:ind w:left="5040" w:hanging="360"/>
      </w:pPr>
    </w:lvl>
    <w:lvl w:ilvl="7" w:tplc="8B8AA068">
      <w:start w:val="1"/>
      <w:numFmt w:val="bullet"/>
      <w:lvlText w:val="●"/>
      <w:lvlJc w:val="left"/>
      <w:pPr>
        <w:ind w:left="5760" w:hanging="360"/>
      </w:pPr>
    </w:lvl>
    <w:lvl w:ilvl="8" w:tplc="5316F5A4">
      <w:start w:val="1"/>
      <w:numFmt w:val="bullet"/>
      <w:lvlText w:val="●"/>
      <w:lvlJc w:val="left"/>
      <w:pPr>
        <w:ind w:left="6480" w:hanging="360"/>
      </w:pPr>
    </w:lvl>
  </w:abstractNum>
  <w:num w:numId="1" w16cid:durableId="6490928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434"/>
    <w:rsid w:val="00113D8E"/>
    <w:rsid w:val="005E3434"/>
    <w:rsid w:val="00667BF9"/>
    <w:rsid w:val="008E26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FEF78"/>
  <w15:docId w15:val="{91B79AAE-3185-4F42-8F2B-32CCE2E69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964</Words>
  <Characters>5499</Characters>
  <Application>Microsoft Office Word</Application>
  <DocSecurity>0</DocSecurity>
  <Lines>45</Lines>
  <Paragraphs>12</Paragraphs>
  <ScaleCrop>false</ScaleCrop>
  <Company/>
  <LinksUpToDate>false</LinksUpToDate>
  <CharactersWithSpaces>6451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bhuvaneswari kundla</cp:lastModifiedBy>
  <cp:revision>3</cp:revision>
  <dcterms:created xsi:type="dcterms:W3CDTF">2026-06-16T10:45:00Z</dcterms:created>
  <dcterms:modified xsi:type="dcterms:W3CDTF">2026-06-16T10:59:00Z</dcterms:modified>
</cp:coreProperties>
</file>