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2FFA" w14:textId="77777777" w:rsidR="00112DCC" w:rsidRDefault="00495718">
      <w:pPr>
        <w:spacing w:after="20"/>
      </w:pPr>
      <w:r>
        <w:rPr>
          <w:rFonts w:ascii="Arial" w:eastAsia="Arial" w:hAnsi="Arial" w:cs="Arial"/>
          <w:b/>
          <w:bCs/>
          <w:color w:val="2F5496"/>
          <w:sz w:val="16"/>
          <w:szCs w:val="16"/>
        </w:rPr>
        <w:t>BOARD BRIEFING</w:t>
      </w:r>
    </w:p>
    <w:p w14:paraId="0BD256B3" w14:textId="77777777" w:rsidR="00112DCC" w:rsidRDefault="00495718">
      <w:pPr>
        <w:spacing w:after="40"/>
      </w:pPr>
      <w:r>
        <w:rPr>
          <w:rFonts w:ascii="Arial" w:eastAsia="Arial" w:hAnsi="Arial" w:cs="Arial"/>
          <w:b/>
          <w:bCs/>
          <w:color w:val="1F3864"/>
          <w:sz w:val="32"/>
          <w:szCs w:val="32"/>
        </w:rPr>
        <w:t>NIS2 Cybersecurity Compliance — What It Means for HealthNet Ireland</w:t>
      </w:r>
    </w:p>
    <w:p w14:paraId="1F54D271" w14:textId="77777777" w:rsidR="00112DCC" w:rsidRDefault="00495718">
      <w:pPr>
        <w:pBdr>
          <w:bottom w:val="single" w:sz="8" w:space="4" w:color="1F3864"/>
        </w:pBdr>
        <w:spacing w:after="160"/>
      </w:pPr>
      <w:r>
        <w:rPr>
          <w:rFonts w:ascii="Arial" w:eastAsia="Arial" w:hAnsi="Arial" w:cs="Arial"/>
          <w:i/>
          <w:iCs/>
          <w:color w:val="595959"/>
          <w:sz w:val="17"/>
          <w:szCs w:val="17"/>
        </w:rPr>
        <w:t>Prepared for the CEO &amp; Board  |  July 2026  |  Prepared by: GRC &amp; Compliance</w:t>
      </w:r>
    </w:p>
    <w:p w14:paraId="141A027C" w14:textId="77777777" w:rsidR="00112DCC" w:rsidRDefault="00495718">
      <w:pPr>
        <w:pBdr>
          <w:bottom w:val="single" w:sz="4" w:space="2" w:color="2F5496"/>
        </w:pBdr>
        <w:spacing w:before="160" w:after="60"/>
      </w:pPr>
      <w:r>
        <w:rPr>
          <w:rFonts w:ascii="Arial" w:eastAsia="Arial" w:hAnsi="Arial" w:cs="Arial"/>
          <w:b/>
          <w:bCs/>
          <w:color w:val="1F3864"/>
          <w:sz w:val="22"/>
          <w:szCs w:val="22"/>
        </w:rPr>
        <w:t>What Is NIS2?</w:t>
      </w:r>
    </w:p>
    <w:p w14:paraId="44DE02D3" w14:textId="77777777" w:rsidR="00112DCC" w:rsidRDefault="00495718">
      <w:pPr>
        <w:spacing w:after="100"/>
      </w:pPr>
      <w:r>
        <w:rPr>
          <w:rFonts w:ascii="Arial" w:eastAsia="Arial" w:hAnsi="Arial" w:cs="Arial"/>
          <w:color w:val="222222"/>
          <w:sz w:val="19"/>
          <w:szCs w:val="19"/>
        </w:rPr>
        <w:t>NIS2 is a new EU cybersecurity law for companies that society depends on — including healthcare and the technology suppliers that support it. It legally requires strong security practices and fast reporting of serious incidents, backed by real financial penalties for companies that don't comply.</w:t>
      </w:r>
    </w:p>
    <w:p w14:paraId="141F1FD6" w14:textId="77777777" w:rsidR="00112DCC" w:rsidRDefault="00495718">
      <w:pPr>
        <w:pBdr>
          <w:bottom w:val="single" w:sz="4" w:space="2" w:color="2F5496"/>
        </w:pBdr>
        <w:spacing w:before="160" w:after="60"/>
      </w:pPr>
      <w:r>
        <w:rPr>
          <w:rFonts w:ascii="Arial" w:eastAsia="Arial" w:hAnsi="Arial" w:cs="Arial"/>
          <w:b/>
          <w:bCs/>
          <w:color w:val="1F3864"/>
          <w:sz w:val="22"/>
          <w:szCs w:val="22"/>
        </w:rPr>
        <w:t>What This Means for HealthNet</w:t>
      </w:r>
    </w:p>
    <w:p w14:paraId="09151DA7" w14:textId="77777777" w:rsidR="00112DCC" w:rsidRDefault="00495718">
      <w:pPr>
        <w:spacing w:after="100"/>
      </w:pPr>
      <w:r>
        <w:rPr>
          <w:rFonts w:ascii="Arial" w:eastAsia="Arial" w:hAnsi="Arial" w:cs="Arial"/>
          <w:color w:val="222222"/>
          <w:sz w:val="19"/>
          <w:szCs w:val="19"/>
        </w:rPr>
        <w:t>Because our platform manages patient records and referrals for hospitals and GP clinics, HealthNet is directly covered by this law as a critical technology supplier to healthcare. We face the same security requirements as a large hospital group, though a lighter-touch regulator who typically steps in only after an incident or complaint. Ireland is still finalising its own version of the law, but the EU rules already apply, and the regulator's expectations are already public.</w:t>
      </w:r>
    </w:p>
    <w:p w14:paraId="0A1F3908" w14:textId="77777777" w:rsidR="00112DCC" w:rsidRDefault="00495718">
      <w:pPr>
        <w:pBdr>
          <w:bottom w:val="single" w:sz="4" w:space="2" w:color="2F5496"/>
        </w:pBdr>
        <w:spacing w:before="160" w:after="60"/>
      </w:pPr>
      <w:r>
        <w:rPr>
          <w:rFonts w:ascii="Arial" w:eastAsia="Arial" w:hAnsi="Arial" w:cs="Arial"/>
          <w:b/>
          <w:bCs/>
          <w:color w:val="1F3864"/>
          <w:sz w:val="22"/>
          <w:szCs w:val="22"/>
        </w:rPr>
        <w:t>Top 3 Risks If We Don't Act</w:t>
      </w:r>
    </w:p>
    <w:p w14:paraId="6ADBA592" w14:textId="77777777" w:rsidR="00112DCC" w:rsidRDefault="00495718">
      <w:pPr>
        <w:spacing w:after="90"/>
        <w:ind w:left="72"/>
      </w:pPr>
      <w:r>
        <w:rPr>
          <w:rFonts w:ascii="Arial" w:eastAsia="Arial" w:hAnsi="Arial" w:cs="Arial"/>
          <w:b/>
          <w:bCs/>
          <w:color w:val="1F3864"/>
          <w:sz w:val="19"/>
          <w:szCs w:val="19"/>
        </w:rPr>
        <w:t xml:space="preserve">1.  </w:t>
      </w:r>
      <w:r>
        <w:rPr>
          <w:rFonts w:ascii="Arial" w:eastAsia="Arial" w:hAnsi="Arial" w:cs="Arial"/>
          <w:b/>
          <w:bCs/>
          <w:sz w:val="19"/>
          <w:szCs w:val="19"/>
        </w:rPr>
        <w:t xml:space="preserve">Financial and personal risk — </w:t>
      </w:r>
      <w:r>
        <w:rPr>
          <w:rFonts w:ascii="Arial" w:eastAsia="Arial" w:hAnsi="Arial" w:cs="Arial"/>
          <w:sz w:val="19"/>
          <w:szCs w:val="19"/>
        </w:rPr>
        <w:t>significant fines are possible, and under the incoming Irish law, board members could be held personally responsible for failing to oversee cybersecurity.</w:t>
      </w:r>
    </w:p>
    <w:p w14:paraId="076BBEB0" w14:textId="77777777" w:rsidR="00112DCC" w:rsidRDefault="00495718">
      <w:pPr>
        <w:spacing w:after="90"/>
        <w:ind w:left="72"/>
      </w:pPr>
      <w:r>
        <w:rPr>
          <w:rFonts w:ascii="Arial" w:eastAsia="Arial" w:hAnsi="Arial" w:cs="Arial"/>
          <w:b/>
          <w:bCs/>
          <w:color w:val="1F3864"/>
          <w:sz w:val="19"/>
          <w:szCs w:val="19"/>
        </w:rPr>
        <w:t xml:space="preserve">2.  </w:t>
      </w:r>
      <w:r>
        <w:rPr>
          <w:rFonts w:ascii="Arial" w:eastAsia="Arial" w:hAnsi="Arial" w:cs="Arial"/>
          <w:b/>
          <w:bCs/>
          <w:sz w:val="19"/>
          <w:szCs w:val="19"/>
        </w:rPr>
        <w:t xml:space="preserve">We couldn't legally respond to an incident today — </w:t>
      </w:r>
      <w:r>
        <w:rPr>
          <w:rFonts w:ascii="Arial" w:eastAsia="Arial" w:hAnsi="Arial" w:cs="Arial"/>
          <w:sz w:val="19"/>
          <w:szCs w:val="19"/>
        </w:rPr>
        <w:t>if we were attacked right now, we have no way to meet the law's 24-hour reporting deadline — a second violation on top of the incident itself.</w:t>
      </w:r>
    </w:p>
    <w:p w14:paraId="4B7F2819" w14:textId="77777777" w:rsidR="00112DCC" w:rsidRDefault="00495718">
      <w:pPr>
        <w:spacing w:after="90"/>
        <w:ind w:left="72"/>
      </w:pPr>
      <w:r>
        <w:rPr>
          <w:rFonts w:ascii="Arial" w:eastAsia="Arial" w:hAnsi="Arial" w:cs="Arial"/>
          <w:b/>
          <w:bCs/>
          <w:color w:val="1F3864"/>
          <w:sz w:val="19"/>
          <w:szCs w:val="19"/>
        </w:rPr>
        <w:t xml:space="preserve">3.  </w:t>
      </w:r>
      <w:r>
        <w:rPr>
          <w:rFonts w:ascii="Arial" w:eastAsia="Arial" w:hAnsi="Arial" w:cs="Arial"/>
          <w:b/>
          <w:bCs/>
          <w:sz w:val="19"/>
          <w:szCs w:val="19"/>
        </w:rPr>
        <w:t xml:space="preserve">Commercial risk with our hospital customers — </w:t>
      </w:r>
      <w:r>
        <w:rPr>
          <w:rFonts w:ascii="Arial" w:eastAsia="Arial" w:hAnsi="Arial" w:cs="Arial"/>
          <w:sz w:val="19"/>
          <w:szCs w:val="19"/>
        </w:rPr>
        <w:t>our customers are under the same law and increasingly required to check that suppliers like us meet these standards. Falling short risks contracts, not just fines.</w:t>
      </w:r>
    </w:p>
    <w:p w14:paraId="68322FD4" w14:textId="77777777" w:rsidR="00112DCC" w:rsidRDefault="00495718">
      <w:pPr>
        <w:spacing w:before="140" w:after="60"/>
      </w:pPr>
      <w:r>
        <w:rPr>
          <w:rFonts w:ascii="Arial" w:eastAsia="Arial" w:hAnsi="Arial" w:cs="Arial"/>
          <w:b/>
          <w:bCs/>
          <w:color w:val="1F3864"/>
          <w:sz w:val="22"/>
          <w:szCs w:val="22"/>
        </w:rPr>
        <w:t>Potential Fines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12DCC" w14:paraId="4BB6988F" w14:textId="77777777">
        <w:tblPrEx>
          <w:tblCellMar>
            <w:top w:w="0" w:type="dxa"/>
            <w:bottom w:w="0" w:type="dxa"/>
          </w:tblCellMar>
        </w:tblPrEx>
        <w:tc>
          <w:tcPr>
            <w:tcW w:w="9350" w:type="dxa"/>
            <w:shd w:val="clear" w:color="auto" w:fill="DEEBF7"/>
            <w:tcMar>
              <w:top w:w="120" w:type="dxa"/>
              <w:left w:w="160" w:type="dxa"/>
              <w:bottom w:w="120" w:type="dxa"/>
              <w:right w:w="160" w:type="dxa"/>
            </w:tcMar>
          </w:tcPr>
          <w:p w14:paraId="6861D5AB" w14:textId="77777777" w:rsidR="00112DCC" w:rsidRDefault="00495718">
            <w:pPr>
              <w:spacing w:after="40"/>
            </w:pPr>
            <w:r>
              <w:rPr>
                <w:rFonts w:ascii="Arial" w:eastAsia="Arial" w:hAnsi="Arial" w:cs="Arial"/>
                <w:b/>
                <w:bCs/>
                <w:color w:val="1F3864"/>
                <w:sz w:val="19"/>
                <w:szCs w:val="19"/>
              </w:rPr>
              <w:t xml:space="preserve">Law's overall maximum: </w:t>
            </w:r>
            <w:r>
              <w:rPr>
                <w:rFonts w:ascii="Arial" w:eastAsia="Arial" w:hAnsi="Arial" w:cs="Arial"/>
                <w:sz w:val="19"/>
                <w:szCs w:val="19"/>
              </w:rPr>
              <w:t>up to €10 million or 2% of global turnover, for the very largest companies covered by the law.</w:t>
            </w:r>
          </w:p>
          <w:p w14:paraId="0C4EF26B" w14:textId="77777777" w:rsidR="00112DCC" w:rsidRDefault="00495718">
            <w:r>
              <w:rPr>
                <w:rFonts w:ascii="Arial" w:eastAsia="Arial" w:hAnsi="Arial" w:cs="Arial"/>
                <w:b/>
                <w:bCs/>
                <w:color w:val="9C0006"/>
                <w:sz w:val="19"/>
                <w:szCs w:val="19"/>
              </w:rPr>
              <w:t xml:space="preserve">HealthNet's realistic exposure: </w:t>
            </w:r>
            <w:r>
              <w:rPr>
                <w:rFonts w:ascii="Arial" w:eastAsia="Arial" w:hAnsi="Arial" w:cs="Arial"/>
                <w:sz w:val="19"/>
                <w:szCs w:val="19"/>
              </w:rPr>
              <w:t>up to €7 million or 1.4% of turnover, given our size — still a material sum, before counting the cost of lost customer trust.</w:t>
            </w:r>
          </w:p>
        </w:tc>
      </w:tr>
    </w:tbl>
    <w:p w14:paraId="37078DCD" w14:textId="77777777" w:rsidR="00112DCC" w:rsidRDefault="00495718">
      <w:pPr>
        <w:pBdr>
          <w:bottom w:val="single" w:sz="4" w:space="2" w:color="2F5496"/>
        </w:pBdr>
        <w:spacing w:before="160" w:after="60"/>
      </w:pPr>
      <w:r>
        <w:rPr>
          <w:rFonts w:ascii="Arial" w:eastAsia="Arial" w:hAnsi="Arial" w:cs="Arial"/>
          <w:b/>
          <w:bCs/>
          <w:color w:val="1F3864"/>
          <w:sz w:val="22"/>
          <w:szCs w:val="22"/>
        </w:rPr>
        <w:t>3 Immediate Actions We Recommend</w:t>
      </w:r>
    </w:p>
    <w:p w14:paraId="37D7C1DF" w14:textId="77777777" w:rsidR="00112DCC" w:rsidRDefault="00495718">
      <w:pPr>
        <w:spacing w:after="90"/>
        <w:ind w:left="72"/>
      </w:pPr>
      <w:r>
        <w:rPr>
          <w:rFonts w:ascii="Arial" w:eastAsia="Arial" w:hAnsi="Arial" w:cs="Arial"/>
          <w:b/>
          <w:bCs/>
          <w:color w:val="1F3864"/>
          <w:sz w:val="19"/>
          <w:szCs w:val="19"/>
        </w:rPr>
        <w:t xml:space="preserve">1.  </w:t>
      </w:r>
      <w:r>
        <w:rPr>
          <w:rFonts w:ascii="Arial" w:eastAsia="Arial" w:hAnsi="Arial" w:cs="Arial"/>
          <w:b/>
          <w:bCs/>
          <w:sz w:val="19"/>
          <w:szCs w:val="19"/>
        </w:rPr>
        <w:t xml:space="preserve">Approve this programme at board level — </w:t>
      </w:r>
      <w:r>
        <w:rPr>
          <w:rFonts w:ascii="Arial" w:eastAsia="Arial" w:hAnsi="Arial" w:cs="Arial"/>
          <w:sz w:val="19"/>
          <w:szCs w:val="19"/>
        </w:rPr>
        <w:t>add cybersecurity as a standing quarterly board topic. This alone closes our single biggest gap, at no cost.</w:t>
      </w:r>
    </w:p>
    <w:p w14:paraId="6B355E07" w14:textId="77777777" w:rsidR="00112DCC" w:rsidRDefault="00495718">
      <w:pPr>
        <w:spacing w:after="90"/>
        <w:ind w:left="72"/>
      </w:pPr>
      <w:r>
        <w:rPr>
          <w:rFonts w:ascii="Arial" w:eastAsia="Arial" w:hAnsi="Arial" w:cs="Arial"/>
          <w:b/>
          <w:bCs/>
          <w:color w:val="1F3864"/>
          <w:sz w:val="19"/>
          <w:szCs w:val="19"/>
        </w:rPr>
        <w:t xml:space="preserve">2.  </w:t>
      </w:r>
      <w:r>
        <w:rPr>
          <w:rFonts w:ascii="Arial" w:eastAsia="Arial" w:hAnsi="Arial" w:cs="Arial"/>
          <w:b/>
          <w:bCs/>
          <w:sz w:val="19"/>
          <w:szCs w:val="19"/>
        </w:rPr>
        <w:t xml:space="preserve">Fix two urgent technical gaps this month — </w:t>
      </w:r>
      <w:r>
        <w:rPr>
          <w:rFonts w:ascii="Arial" w:eastAsia="Arial" w:hAnsi="Arial" w:cs="Arial"/>
          <w:sz w:val="19"/>
          <w:szCs w:val="19"/>
        </w:rPr>
        <w:t>turn on multi-factor authentication on our cloud admin systems, and remove the two ex-employee accounts that can still log in.</w:t>
      </w:r>
    </w:p>
    <w:p w14:paraId="79652076" w14:textId="77777777" w:rsidR="00112DCC" w:rsidRDefault="00495718">
      <w:pPr>
        <w:spacing w:after="90"/>
        <w:ind w:left="72"/>
      </w:pPr>
      <w:r>
        <w:rPr>
          <w:rFonts w:ascii="Arial" w:eastAsia="Arial" w:hAnsi="Arial" w:cs="Arial"/>
          <w:b/>
          <w:bCs/>
          <w:color w:val="1F3864"/>
          <w:sz w:val="19"/>
          <w:szCs w:val="19"/>
        </w:rPr>
        <w:t xml:space="preserve">3.  </w:t>
      </w:r>
      <w:r>
        <w:rPr>
          <w:rFonts w:ascii="Arial" w:eastAsia="Arial" w:hAnsi="Arial" w:cs="Arial"/>
          <w:b/>
          <w:bCs/>
          <w:sz w:val="19"/>
          <w:szCs w:val="19"/>
        </w:rPr>
        <w:t xml:space="preserve">Put a basic incident-reporting plan in place — </w:t>
      </w:r>
      <w:r>
        <w:rPr>
          <w:rFonts w:ascii="Arial" w:eastAsia="Arial" w:hAnsi="Arial" w:cs="Arial"/>
          <w:sz w:val="19"/>
          <w:szCs w:val="19"/>
        </w:rPr>
        <w:t>a one-page procedure and emergency contact list, so we can legally meet the 24-hour deadline if an incident occurs.</w:t>
      </w:r>
    </w:p>
    <w:p w14:paraId="379B3AB1" w14:textId="77777777" w:rsidR="00112DCC" w:rsidRDefault="00495718">
      <w:pPr>
        <w:pBdr>
          <w:top w:val="single" w:sz="4" w:space="4" w:color="2F5496"/>
        </w:pBdr>
        <w:spacing w:before="160"/>
      </w:pPr>
      <w:r>
        <w:rPr>
          <w:rFonts w:ascii="Arial" w:eastAsia="Arial" w:hAnsi="Arial" w:cs="Arial"/>
          <w:b/>
          <w:bCs/>
          <w:color w:val="1F3864"/>
          <w:sz w:val="19"/>
          <w:szCs w:val="19"/>
        </w:rPr>
        <w:t xml:space="preserve">Recommendation: </w:t>
      </w:r>
      <w:r>
        <w:rPr>
          <w:rFonts w:ascii="Arial" w:eastAsia="Arial" w:hAnsi="Arial" w:cs="Arial"/>
          <w:i/>
          <w:iCs/>
          <w:color w:val="595959"/>
          <w:sz w:val="19"/>
          <w:szCs w:val="19"/>
        </w:rPr>
        <w:t>approve these three actions today. A full gap assessment and 12-month roadmap is available on request.</w:t>
      </w:r>
    </w:p>
    <w:sectPr w:rsidR="00112DCC">
      <w:pgSz w:w="11906" w:h="16838"/>
      <w:pgMar w:top="792" w:right="1008" w:bottom="792"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31B1B"/>
    <w:multiLevelType w:val="hybridMultilevel"/>
    <w:tmpl w:val="01A09B7C"/>
    <w:lvl w:ilvl="0" w:tplc="6EA06AF6">
      <w:start w:val="1"/>
      <w:numFmt w:val="bullet"/>
      <w:lvlText w:val="●"/>
      <w:lvlJc w:val="left"/>
      <w:pPr>
        <w:ind w:left="720" w:hanging="360"/>
      </w:pPr>
    </w:lvl>
    <w:lvl w:ilvl="1" w:tplc="EF88B986">
      <w:start w:val="1"/>
      <w:numFmt w:val="bullet"/>
      <w:lvlText w:val="○"/>
      <w:lvlJc w:val="left"/>
      <w:pPr>
        <w:ind w:left="1440" w:hanging="360"/>
      </w:pPr>
    </w:lvl>
    <w:lvl w:ilvl="2" w:tplc="C79C1DAA">
      <w:start w:val="1"/>
      <w:numFmt w:val="bullet"/>
      <w:lvlText w:val="■"/>
      <w:lvlJc w:val="left"/>
      <w:pPr>
        <w:ind w:left="2160" w:hanging="360"/>
      </w:pPr>
    </w:lvl>
    <w:lvl w:ilvl="3" w:tplc="5C8019F0">
      <w:start w:val="1"/>
      <w:numFmt w:val="bullet"/>
      <w:lvlText w:val="●"/>
      <w:lvlJc w:val="left"/>
      <w:pPr>
        <w:ind w:left="2880" w:hanging="360"/>
      </w:pPr>
    </w:lvl>
    <w:lvl w:ilvl="4" w:tplc="79B6B05A">
      <w:start w:val="1"/>
      <w:numFmt w:val="bullet"/>
      <w:lvlText w:val="○"/>
      <w:lvlJc w:val="left"/>
      <w:pPr>
        <w:ind w:left="3600" w:hanging="360"/>
      </w:pPr>
    </w:lvl>
    <w:lvl w:ilvl="5" w:tplc="147AE20E">
      <w:start w:val="1"/>
      <w:numFmt w:val="bullet"/>
      <w:lvlText w:val="■"/>
      <w:lvlJc w:val="left"/>
      <w:pPr>
        <w:ind w:left="4320" w:hanging="360"/>
      </w:pPr>
    </w:lvl>
    <w:lvl w:ilvl="6" w:tplc="C4BCD966">
      <w:start w:val="1"/>
      <w:numFmt w:val="bullet"/>
      <w:lvlText w:val="●"/>
      <w:lvlJc w:val="left"/>
      <w:pPr>
        <w:ind w:left="5040" w:hanging="360"/>
      </w:pPr>
    </w:lvl>
    <w:lvl w:ilvl="7" w:tplc="98A46FDE">
      <w:start w:val="1"/>
      <w:numFmt w:val="bullet"/>
      <w:lvlText w:val="●"/>
      <w:lvlJc w:val="left"/>
      <w:pPr>
        <w:ind w:left="5760" w:hanging="360"/>
      </w:pPr>
    </w:lvl>
    <w:lvl w:ilvl="8" w:tplc="28A25BAC">
      <w:start w:val="1"/>
      <w:numFmt w:val="bullet"/>
      <w:lvlText w:val="●"/>
      <w:lvlJc w:val="left"/>
      <w:pPr>
        <w:ind w:left="6480" w:hanging="360"/>
      </w:pPr>
    </w:lvl>
  </w:abstractNum>
  <w:num w:numId="1" w16cid:durableId="3048916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DCC"/>
    <w:rsid w:val="00112DCC"/>
    <w:rsid w:val="00495718"/>
    <w:rsid w:val="006B5923"/>
    <w:rsid w:val="00FE3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697963B"/>
  <w15:docId w15:val="{7BFC763F-2377-44DB-8364-057CAA838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380</Words>
  <Characters>2169</Characters>
  <Application>Microsoft Office Word</Application>
  <DocSecurity>0</DocSecurity>
  <Lines>18</Lines>
  <Paragraphs>5</Paragraphs>
  <ScaleCrop>false</ScaleCrop>
  <Company/>
  <LinksUpToDate>false</LinksUpToDate>
  <CharactersWithSpaces>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bhuvaneswari kundla</cp:lastModifiedBy>
  <cp:revision>2</cp:revision>
  <dcterms:created xsi:type="dcterms:W3CDTF">2026-07-24T14:25:00Z</dcterms:created>
  <dcterms:modified xsi:type="dcterms:W3CDTF">2026-07-24T14:25:00Z</dcterms:modified>
</cp:coreProperties>
</file>