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593F9" w14:textId="1C427036" w:rsidR="00445080" w:rsidRDefault="00445080" w:rsidP="00445080">
      <w:pPr>
        <w:spacing w:after="200"/>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B4069E5" wp14:editId="740E1EDD">
            <wp:extent cx="2522220" cy="2522220"/>
            <wp:effectExtent l="0" t="0" r="0" b="0"/>
            <wp:docPr id="18763838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83888" name="Picture 18763838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22220" cy="2522220"/>
                    </a:xfrm>
                    <a:prstGeom prst="rect">
                      <a:avLst/>
                    </a:prstGeom>
                  </pic:spPr>
                </pic:pic>
              </a:graphicData>
            </a:graphic>
          </wp:inline>
        </w:drawing>
      </w:r>
    </w:p>
    <w:p w14:paraId="528A1F7E" w14:textId="00CDDD68" w:rsidR="00445080" w:rsidRPr="00445080" w:rsidRDefault="00445080" w:rsidP="00445080">
      <w:pPr>
        <w:spacing w:after="200"/>
        <w:jc w:val="center"/>
        <w:rPr>
          <w:rFonts w:ascii="Times New Roman" w:hAnsi="Times New Roman" w:cs="Times New Roman"/>
          <w:b/>
          <w:bCs/>
          <w:sz w:val="48"/>
          <w:szCs w:val="48"/>
        </w:rPr>
      </w:pPr>
      <w:r w:rsidRPr="00445080">
        <w:rPr>
          <w:b/>
          <w:bCs/>
          <w:sz w:val="48"/>
          <w:szCs w:val="48"/>
        </w:rPr>
        <w:t>Visvesvaraya Technological University</w:t>
      </w:r>
    </w:p>
    <w:p w14:paraId="752B1D00" w14:textId="77777777" w:rsidR="00B81B11" w:rsidRDefault="00B81B11" w:rsidP="00B81B11">
      <w:pPr>
        <w:spacing w:after="200"/>
        <w:rPr>
          <w:rFonts w:ascii="Times New Roman" w:hAnsi="Times New Roman" w:cs="Times New Roman"/>
          <w:b/>
          <w:bCs/>
          <w:sz w:val="32"/>
          <w:szCs w:val="32"/>
        </w:rPr>
      </w:pPr>
    </w:p>
    <w:p w14:paraId="7D155E21" w14:textId="1B593D69" w:rsidR="00F755B3" w:rsidRDefault="00000000" w:rsidP="00445080">
      <w:pPr>
        <w:spacing w:after="200"/>
        <w:jc w:val="center"/>
        <w:rPr>
          <w:rFonts w:ascii="Times New Roman" w:hAnsi="Times New Roman" w:cs="Times New Roman"/>
          <w:sz w:val="32"/>
          <w:szCs w:val="32"/>
        </w:rPr>
      </w:pPr>
      <w:r w:rsidRPr="00CB2BB6">
        <w:rPr>
          <w:rFonts w:ascii="Times New Roman" w:hAnsi="Times New Roman" w:cs="Times New Roman"/>
          <w:b/>
          <w:bCs/>
          <w:sz w:val="32"/>
          <w:szCs w:val="32"/>
        </w:rPr>
        <w:t>APPLICATIONS OF ARTIFICIAL INTELLIGENCE</w:t>
      </w:r>
    </w:p>
    <w:p w14:paraId="352EE7F8" w14:textId="77777777" w:rsidR="00136FC8" w:rsidRPr="00CB2BB6" w:rsidRDefault="00136FC8" w:rsidP="00445080">
      <w:pPr>
        <w:spacing w:after="200" w:line="360" w:lineRule="auto"/>
        <w:jc w:val="center"/>
        <w:rPr>
          <w:rFonts w:ascii="Times New Roman" w:hAnsi="Times New Roman" w:cs="Times New Roman"/>
          <w:sz w:val="32"/>
          <w:szCs w:val="32"/>
        </w:rPr>
      </w:pPr>
    </w:p>
    <w:p w14:paraId="37C90A08" w14:textId="77777777" w:rsidR="00F755B3" w:rsidRPr="00CB2BB6" w:rsidRDefault="00000000" w:rsidP="00445080">
      <w:pPr>
        <w:spacing w:after="120" w:line="360" w:lineRule="auto"/>
        <w:jc w:val="center"/>
        <w:rPr>
          <w:rFonts w:ascii="Times New Roman" w:hAnsi="Times New Roman" w:cs="Times New Roman"/>
          <w:sz w:val="32"/>
          <w:szCs w:val="32"/>
        </w:rPr>
      </w:pPr>
      <w:r w:rsidRPr="00CB2BB6">
        <w:rPr>
          <w:rFonts w:ascii="Times New Roman" w:hAnsi="Times New Roman" w:cs="Times New Roman"/>
          <w:b/>
          <w:bCs/>
          <w:sz w:val="32"/>
          <w:szCs w:val="32"/>
        </w:rPr>
        <w:t>Submitted By</w:t>
      </w:r>
    </w:p>
    <w:p w14:paraId="5C148497" w14:textId="77777777" w:rsidR="00136FC8" w:rsidRDefault="00136FC8">
      <w:pPr>
        <w:spacing w:before="80" w:after="80" w:line="360" w:lineRule="auto"/>
        <w:rPr>
          <w:rFonts w:ascii="Times New Roman" w:hAnsi="Times New Roman" w:cs="Times New Roman"/>
          <w:b/>
          <w:bCs/>
          <w:sz w:val="32"/>
          <w:szCs w:val="32"/>
        </w:rPr>
      </w:pPr>
    </w:p>
    <w:p w14:paraId="312D4AC1" w14:textId="139D0307" w:rsidR="00F755B3" w:rsidRPr="00445080" w:rsidRDefault="00000000">
      <w:pPr>
        <w:spacing w:before="80" w:after="80" w:line="360" w:lineRule="auto"/>
        <w:rPr>
          <w:rFonts w:ascii="Times New Roman" w:hAnsi="Times New Roman" w:cs="Times New Roman"/>
          <w:sz w:val="32"/>
          <w:szCs w:val="32"/>
          <w:u w:val="single"/>
        </w:rPr>
      </w:pPr>
      <w:r w:rsidRPr="00CB2BB6">
        <w:rPr>
          <w:rFonts w:ascii="Times New Roman" w:hAnsi="Times New Roman" w:cs="Times New Roman"/>
          <w:b/>
          <w:bCs/>
          <w:sz w:val="32"/>
          <w:szCs w:val="32"/>
        </w:rPr>
        <w:t xml:space="preserve">Name: </w:t>
      </w:r>
      <w:r w:rsidR="00445080" w:rsidRPr="00445080">
        <w:rPr>
          <w:rFonts w:ascii="Times New Roman" w:hAnsi="Times New Roman" w:cs="Times New Roman"/>
          <w:sz w:val="32"/>
          <w:szCs w:val="32"/>
          <w:u w:val="single"/>
        </w:rPr>
        <w:t>Bhuvan Kumar H P</w:t>
      </w:r>
    </w:p>
    <w:p w14:paraId="31999A04" w14:textId="1542EA29" w:rsidR="00F755B3" w:rsidRPr="00CB2BB6" w:rsidRDefault="00000000">
      <w:pPr>
        <w:spacing w:before="80" w:after="80" w:line="360" w:lineRule="auto"/>
        <w:rPr>
          <w:rFonts w:ascii="Times New Roman" w:hAnsi="Times New Roman" w:cs="Times New Roman"/>
          <w:sz w:val="32"/>
          <w:szCs w:val="32"/>
        </w:rPr>
      </w:pPr>
      <w:r w:rsidRPr="00CB2BB6">
        <w:rPr>
          <w:rFonts w:ascii="Times New Roman" w:hAnsi="Times New Roman" w:cs="Times New Roman"/>
          <w:b/>
          <w:bCs/>
          <w:sz w:val="32"/>
          <w:szCs w:val="32"/>
        </w:rPr>
        <w:t xml:space="preserve">USN: </w:t>
      </w:r>
      <w:r w:rsidR="00445080" w:rsidRPr="00445080">
        <w:rPr>
          <w:rFonts w:ascii="Times New Roman" w:hAnsi="Times New Roman" w:cs="Times New Roman"/>
          <w:sz w:val="32"/>
          <w:szCs w:val="32"/>
          <w:u w:val="single"/>
        </w:rPr>
        <w:t>4YG25AI011</w:t>
      </w:r>
    </w:p>
    <w:p w14:paraId="30BD7205" w14:textId="45AC18D1" w:rsidR="00136FC8" w:rsidRPr="00445080" w:rsidRDefault="00000000">
      <w:pPr>
        <w:spacing w:before="80" w:after="80" w:line="360" w:lineRule="auto"/>
        <w:rPr>
          <w:rFonts w:ascii="Times New Roman" w:hAnsi="Times New Roman" w:cs="Times New Roman"/>
          <w:sz w:val="32"/>
          <w:szCs w:val="32"/>
          <w:u w:val="single"/>
        </w:rPr>
      </w:pPr>
      <w:r w:rsidRPr="00CB2BB6">
        <w:rPr>
          <w:rFonts w:ascii="Times New Roman" w:hAnsi="Times New Roman" w:cs="Times New Roman"/>
          <w:b/>
          <w:bCs/>
          <w:sz w:val="32"/>
          <w:szCs w:val="32"/>
        </w:rPr>
        <w:t xml:space="preserve">Subject: </w:t>
      </w:r>
      <w:r w:rsidR="00445080" w:rsidRPr="00445080">
        <w:rPr>
          <w:sz w:val="32"/>
          <w:szCs w:val="32"/>
          <w:u w:val="single"/>
        </w:rPr>
        <w:t>Introduction to AI and Applications</w:t>
      </w:r>
    </w:p>
    <w:p w14:paraId="3233E9D4" w14:textId="77777777" w:rsidR="00445080" w:rsidRDefault="00000000" w:rsidP="00445080">
      <w:pPr>
        <w:pStyle w:val="Heading1"/>
        <w:shd w:val="clear" w:color="auto" w:fill="FFFFFF"/>
        <w:spacing w:before="120"/>
        <w:textAlignment w:val="baseline"/>
        <w:rPr>
          <w:rFonts w:ascii="Titillium Web" w:hAnsi="Titillium Web"/>
          <w:b w:val="0"/>
          <w:bCs w:val="0"/>
          <w:color w:val="428BCA"/>
        </w:rPr>
      </w:pPr>
      <w:r w:rsidRPr="00CB2BB6">
        <w:rPr>
          <w:rFonts w:ascii="Times New Roman" w:hAnsi="Times New Roman" w:cs="Times New Roman"/>
        </w:rPr>
        <w:t xml:space="preserve">College: </w:t>
      </w:r>
      <w:proofErr w:type="spellStart"/>
      <w:r w:rsidR="00445080" w:rsidRPr="00445080">
        <w:rPr>
          <w:rFonts w:ascii="Times New Roman" w:hAnsi="Times New Roman" w:cs="Times New Roman"/>
          <w:b w:val="0"/>
          <w:bCs w:val="0"/>
          <w:color w:val="000000" w:themeColor="text1"/>
          <w:u w:val="single"/>
        </w:rPr>
        <w:t>Navkis</w:t>
      </w:r>
      <w:proofErr w:type="spellEnd"/>
      <w:r w:rsidR="00445080" w:rsidRPr="00445080">
        <w:rPr>
          <w:rFonts w:ascii="Times New Roman" w:hAnsi="Times New Roman" w:cs="Times New Roman"/>
          <w:b w:val="0"/>
          <w:bCs w:val="0"/>
          <w:color w:val="000000" w:themeColor="text1"/>
          <w:u w:val="single"/>
        </w:rPr>
        <w:t xml:space="preserve"> College of Engineering</w:t>
      </w:r>
    </w:p>
    <w:p w14:paraId="519FA1C7" w14:textId="77777777" w:rsidR="00B81B11" w:rsidRDefault="00B81B11" w:rsidP="00B81B11">
      <w:pPr>
        <w:spacing w:line="360" w:lineRule="auto"/>
        <w:rPr>
          <w:rFonts w:ascii="Times New Roman" w:hAnsi="Times New Roman" w:cs="Times New Roman"/>
          <w:b/>
          <w:bCs/>
          <w:sz w:val="32"/>
          <w:szCs w:val="32"/>
        </w:rPr>
      </w:pPr>
    </w:p>
    <w:p w14:paraId="5A696794" w14:textId="120482E9" w:rsidR="00445080" w:rsidRDefault="00445080" w:rsidP="00445080">
      <w:pPr>
        <w:spacing w:line="360" w:lineRule="auto"/>
        <w:jc w:val="center"/>
        <w:rPr>
          <w:rFonts w:ascii="Times New Roman" w:hAnsi="Times New Roman" w:cs="Times New Roman"/>
          <w:sz w:val="32"/>
          <w:szCs w:val="32"/>
        </w:rPr>
      </w:pPr>
      <w:r w:rsidRPr="00CB2BB6">
        <w:rPr>
          <w:rFonts w:ascii="Times New Roman" w:hAnsi="Times New Roman" w:cs="Times New Roman"/>
          <w:b/>
          <w:bCs/>
          <w:sz w:val="32"/>
          <w:szCs w:val="32"/>
        </w:rPr>
        <w:t>Academic Year 202</w:t>
      </w:r>
      <w:r>
        <w:rPr>
          <w:rFonts w:ascii="Times New Roman" w:hAnsi="Times New Roman" w:cs="Times New Roman"/>
          <w:b/>
          <w:bCs/>
          <w:sz w:val="32"/>
          <w:szCs w:val="32"/>
        </w:rPr>
        <w:t>5-26</w:t>
      </w:r>
    </w:p>
    <w:p w14:paraId="2C1A698E" w14:textId="77777777" w:rsidR="00B81B11" w:rsidRDefault="00B81B11" w:rsidP="00445080">
      <w:pPr>
        <w:spacing w:line="360" w:lineRule="auto"/>
        <w:jc w:val="center"/>
        <w:rPr>
          <w:rFonts w:ascii="Times New Roman" w:hAnsi="Times New Roman" w:cs="Times New Roman"/>
          <w:sz w:val="32"/>
          <w:szCs w:val="32"/>
        </w:rPr>
      </w:pPr>
    </w:p>
    <w:p w14:paraId="7E8DD68F" w14:textId="77777777" w:rsidR="00B81B11" w:rsidRPr="00CB2BB6" w:rsidRDefault="00B81B11" w:rsidP="00445080">
      <w:pPr>
        <w:spacing w:line="360" w:lineRule="auto"/>
        <w:jc w:val="center"/>
        <w:rPr>
          <w:rFonts w:ascii="Times New Roman" w:hAnsi="Times New Roman" w:cs="Times New Roman"/>
          <w:sz w:val="32"/>
          <w:szCs w:val="32"/>
        </w:rPr>
      </w:pPr>
    </w:p>
    <w:p w14:paraId="3864FB47" w14:textId="19C4B775" w:rsidR="00F755B3" w:rsidRPr="00CB2BB6" w:rsidRDefault="00000000">
      <w:pPr>
        <w:pStyle w:val="Heading1"/>
        <w:rPr>
          <w:rFonts w:ascii="Times New Roman" w:hAnsi="Times New Roman" w:cs="Times New Roman"/>
          <w:u w:val="single"/>
        </w:rPr>
      </w:pPr>
      <w:r w:rsidRPr="00CB2BB6">
        <w:rPr>
          <w:rFonts w:ascii="Times New Roman" w:hAnsi="Times New Roman" w:cs="Times New Roman"/>
          <w:u w:val="single"/>
        </w:rPr>
        <w:lastRenderedPageBreak/>
        <w:t>1. Introduction</w:t>
      </w:r>
    </w:p>
    <w:p w14:paraId="1508B6C0" w14:textId="77777777" w:rsidR="00F755B3" w:rsidRPr="00CB2BB6" w:rsidRDefault="00000000">
      <w:pPr>
        <w:spacing w:after="120" w:line="360" w:lineRule="auto"/>
        <w:jc w:val="both"/>
        <w:rPr>
          <w:rFonts w:ascii="Times New Roman" w:hAnsi="Times New Roman" w:cs="Times New Roman"/>
          <w:sz w:val="32"/>
          <w:szCs w:val="32"/>
        </w:rPr>
      </w:pPr>
      <w:r w:rsidRPr="00CB2BB6">
        <w:rPr>
          <w:rFonts w:ascii="Times New Roman" w:hAnsi="Times New Roman" w:cs="Times New Roman"/>
          <w:sz w:val="32"/>
          <w:szCs w:val="32"/>
        </w:rPr>
        <w:t>Artificial Intelligence (AI) refers to the simulation of human cognitive functions—such as learning, reasoning, problem-solving, and decision-making—by computational systems. The discipline draws from mathematics, statistics, neuroscience, and computer science to construct algorithms capable of performing tasks that traditionally required human intelligence.</w:t>
      </w:r>
    </w:p>
    <w:p w14:paraId="0A57A311" w14:textId="77777777" w:rsidR="00F755B3" w:rsidRPr="00CB2BB6" w:rsidRDefault="00000000">
      <w:pPr>
        <w:spacing w:after="120" w:line="360" w:lineRule="auto"/>
        <w:jc w:val="both"/>
        <w:rPr>
          <w:rFonts w:ascii="Times New Roman" w:hAnsi="Times New Roman" w:cs="Times New Roman"/>
          <w:sz w:val="32"/>
          <w:szCs w:val="32"/>
        </w:rPr>
      </w:pPr>
      <w:r w:rsidRPr="00CB2BB6">
        <w:rPr>
          <w:rFonts w:ascii="Times New Roman" w:hAnsi="Times New Roman" w:cs="Times New Roman"/>
          <w:sz w:val="32"/>
          <w:szCs w:val="32"/>
        </w:rPr>
        <w:t>The conceptual origins of AI trace back to the mid-twentieth century. In 1950, Alan Turing proposed a framework for evaluating machine intelligence through what is now known as the Turing Test. The term "Artificial Intelligence" was formally coined by John McCarthy at the Dartmouth Conference in 1956, which marked the birth of AI as an academic discipline. Early research produced rule-based expert systems in the 1970s and 1980s, which encoded domain knowledge through manually constructed if-then logic. These systems, while effective in constrained environments, were brittle and lacked adaptability.</w:t>
      </w:r>
    </w:p>
    <w:p w14:paraId="5F17894F" w14:textId="77777777" w:rsidR="00F755B3" w:rsidRPr="00CB2BB6" w:rsidRDefault="00000000">
      <w:pPr>
        <w:spacing w:after="120" w:line="360" w:lineRule="auto"/>
        <w:jc w:val="both"/>
        <w:rPr>
          <w:rFonts w:ascii="Times New Roman" w:hAnsi="Times New Roman" w:cs="Times New Roman"/>
          <w:sz w:val="32"/>
          <w:szCs w:val="32"/>
        </w:rPr>
      </w:pPr>
      <w:r w:rsidRPr="00CB2BB6">
        <w:rPr>
          <w:rFonts w:ascii="Times New Roman" w:hAnsi="Times New Roman" w:cs="Times New Roman"/>
          <w:sz w:val="32"/>
          <w:szCs w:val="32"/>
        </w:rPr>
        <w:t xml:space="preserve">The limitation of rule-based approaches became apparent as real-world complexity exceeded what explicit programming could handle. The shift from traditional computing—which relies on deterministic, human-authored instructions—to AI-based computation represents a fundamental change in how machines are designed to operate. In traditional systems, a programmer specifies every condition and outcome. In contrast, AI </w:t>
      </w:r>
      <w:r w:rsidRPr="00CB2BB6">
        <w:rPr>
          <w:rFonts w:ascii="Times New Roman" w:hAnsi="Times New Roman" w:cs="Times New Roman"/>
          <w:sz w:val="32"/>
          <w:szCs w:val="32"/>
        </w:rPr>
        <w:lastRenderedPageBreak/>
        <w:t>systems derive operational rules from data, enabling them to generalise across scenarios not explicitly encountered during development.</w:t>
      </w:r>
    </w:p>
    <w:p w14:paraId="24FB7624" w14:textId="77777777" w:rsidR="00F755B3" w:rsidRPr="00CB2BB6" w:rsidRDefault="00000000">
      <w:pPr>
        <w:spacing w:after="120" w:line="360" w:lineRule="auto"/>
        <w:jc w:val="both"/>
        <w:rPr>
          <w:rFonts w:ascii="Times New Roman" w:hAnsi="Times New Roman" w:cs="Times New Roman"/>
          <w:sz w:val="32"/>
          <w:szCs w:val="32"/>
        </w:rPr>
      </w:pPr>
      <w:r w:rsidRPr="00CB2BB6">
        <w:rPr>
          <w:rFonts w:ascii="Times New Roman" w:hAnsi="Times New Roman" w:cs="Times New Roman"/>
          <w:sz w:val="32"/>
          <w:szCs w:val="32"/>
        </w:rPr>
        <w:t>The availability of large-scale datasets, improvements in computational hardware (particularly Graphics Processing Units), and advances in algorithmic design catalysed a renaissance in AI research from 2010 onwards. Neural networks, once considered computationally prohibitive, became practical through techniques such as backpropagation, dropout regularisation, and transfer learning. Today, AI encompasses a broad set of subfields including machine learning, natural language processing, computer vision, and robotics, each with extensive engineering applications.</w:t>
      </w:r>
    </w:p>
    <w:p w14:paraId="5DEFFFC5" w14:textId="77777777" w:rsidR="00F755B3" w:rsidRPr="00CB2BB6" w:rsidRDefault="00000000">
      <w:pPr>
        <w:rPr>
          <w:rFonts w:ascii="Times New Roman" w:hAnsi="Times New Roman" w:cs="Times New Roman"/>
          <w:sz w:val="32"/>
          <w:szCs w:val="32"/>
        </w:rPr>
      </w:pPr>
      <w:r w:rsidRPr="00CB2BB6">
        <w:rPr>
          <w:rFonts w:ascii="Times New Roman" w:hAnsi="Times New Roman" w:cs="Times New Roman"/>
          <w:sz w:val="32"/>
          <w:szCs w:val="32"/>
        </w:rPr>
        <w:br w:type="page"/>
      </w:r>
    </w:p>
    <w:p w14:paraId="5B340759" w14:textId="77777777" w:rsidR="00F755B3" w:rsidRPr="00CB2BB6" w:rsidRDefault="00000000">
      <w:pPr>
        <w:pStyle w:val="Heading1"/>
        <w:rPr>
          <w:rFonts w:ascii="Times New Roman" w:hAnsi="Times New Roman" w:cs="Times New Roman"/>
          <w:u w:val="single"/>
        </w:rPr>
      </w:pPr>
      <w:r w:rsidRPr="00CB2BB6">
        <w:rPr>
          <w:rFonts w:ascii="Times New Roman" w:hAnsi="Times New Roman" w:cs="Times New Roman"/>
          <w:u w:val="single"/>
        </w:rPr>
        <w:lastRenderedPageBreak/>
        <w:t>2. Core Applications of Artificial Intelligence</w:t>
      </w:r>
    </w:p>
    <w:p w14:paraId="760AD8EA" w14:textId="77777777" w:rsidR="00F755B3" w:rsidRPr="00CB2BB6" w:rsidRDefault="00000000">
      <w:pPr>
        <w:spacing w:after="120" w:line="360" w:lineRule="auto"/>
        <w:jc w:val="both"/>
        <w:rPr>
          <w:rFonts w:ascii="Times New Roman" w:hAnsi="Times New Roman" w:cs="Times New Roman"/>
          <w:sz w:val="32"/>
          <w:szCs w:val="32"/>
        </w:rPr>
      </w:pPr>
      <w:r w:rsidRPr="00CB2BB6">
        <w:rPr>
          <w:rFonts w:ascii="Times New Roman" w:hAnsi="Times New Roman" w:cs="Times New Roman"/>
          <w:sz w:val="32"/>
          <w:szCs w:val="32"/>
        </w:rPr>
        <w:t>The following subsections examine three principal domains in which AI has demonstrated measurable impact. These applications are of direct relevance to Modules 4 and 5, which address intelligent systems, data-driven modelling, and automated control in engineering contexts.</w:t>
      </w:r>
    </w:p>
    <w:p w14:paraId="19308551" w14:textId="77777777" w:rsidR="00F755B3" w:rsidRPr="00CB2BB6" w:rsidRDefault="00000000">
      <w:pPr>
        <w:pStyle w:val="Heading2"/>
        <w:rPr>
          <w:rFonts w:ascii="Times New Roman" w:hAnsi="Times New Roman" w:cs="Times New Roman"/>
          <w:sz w:val="32"/>
          <w:szCs w:val="32"/>
          <w:u w:val="single"/>
        </w:rPr>
      </w:pPr>
      <w:r w:rsidRPr="00CB2BB6">
        <w:rPr>
          <w:rFonts w:ascii="Times New Roman" w:hAnsi="Times New Roman" w:cs="Times New Roman"/>
          <w:sz w:val="32"/>
          <w:szCs w:val="32"/>
          <w:u w:val="single"/>
        </w:rPr>
        <w:t>2.1 Machine Learning in Healthcare</w:t>
      </w:r>
    </w:p>
    <w:p w14:paraId="75773516" w14:textId="77777777" w:rsidR="00F755B3" w:rsidRPr="00CB2BB6" w:rsidRDefault="00000000">
      <w:pPr>
        <w:spacing w:after="120" w:line="360" w:lineRule="auto"/>
        <w:jc w:val="both"/>
        <w:rPr>
          <w:rFonts w:ascii="Times New Roman" w:hAnsi="Times New Roman" w:cs="Times New Roman"/>
          <w:sz w:val="32"/>
          <w:szCs w:val="32"/>
        </w:rPr>
      </w:pPr>
      <w:r w:rsidRPr="00CB2BB6">
        <w:rPr>
          <w:rFonts w:ascii="Times New Roman" w:hAnsi="Times New Roman" w:cs="Times New Roman"/>
          <w:sz w:val="32"/>
          <w:szCs w:val="32"/>
        </w:rPr>
        <w:t>Machine learning (ML), a subfield of AI, enables systems to improve their performance on a task through exposure to data without being explicitly programmed for each scenario. In healthcare, ML has been deployed across diagnostic imaging, drug discovery, and patient outcome prediction.</w:t>
      </w:r>
    </w:p>
    <w:p w14:paraId="793C83D3" w14:textId="77777777" w:rsidR="00F755B3" w:rsidRPr="00CB2BB6" w:rsidRDefault="00000000">
      <w:pPr>
        <w:spacing w:after="120" w:line="360" w:lineRule="auto"/>
        <w:jc w:val="both"/>
        <w:rPr>
          <w:rFonts w:ascii="Times New Roman" w:hAnsi="Times New Roman" w:cs="Times New Roman"/>
          <w:sz w:val="32"/>
          <w:szCs w:val="32"/>
        </w:rPr>
      </w:pPr>
      <w:r w:rsidRPr="00CB2BB6">
        <w:rPr>
          <w:rFonts w:ascii="Times New Roman" w:hAnsi="Times New Roman" w:cs="Times New Roman"/>
          <w:sz w:val="32"/>
          <w:szCs w:val="32"/>
        </w:rPr>
        <w:t>Convolutional neural networks (CNNs) have demonstrated diagnostic accuracy comparable to board-certified specialists in identifying pathologies from radiological images, including diabetic retinopathy, pneumonia, and dermatological malignancies. A landmark study published in Nature (2017) demonstrated that a CNN trained on over 129,000 clinical images matched dermatologist-level accuracy in classifying skin cancer. Similarly, Google DeepMind's AlphaFold system resolved a longstanding problem in structural biology by predicting protein folding configurations with near-experimental accuracy, accelerating drug discovery pipelines substantially.</w:t>
      </w:r>
    </w:p>
    <w:p w14:paraId="219A3927" w14:textId="77777777" w:rsidR="00F755B3" w:rsidRPr="00CB2BB6" w:rsidRDefault="00000000">
      <w:pPr>
        <w:spacing w:after="120" w:line="360" w:lineRule="auto"/>
        <w:jc w:val="both"/>
        <w:rPr>
          <w:rFonts w:ascii="Times New Roman" w:hAnsi="Times New Roman" w:cs="Times New Roman"/>
          <w:sz w:val="32"/>
          <w:szCs w:val="32"/>
        </w:rPr>
      </w:pPr>
      <w:r w:rsidRPr="00CB2BB6">
        <w:rPr>
          <w:rFonts w:ascii="Times New Roman" w:hAnsi="Times New Roman" w:cs="Times New Roman"/>
          <w:sz w:val="32"/>
          <w:szCs w:val="32"/>
        </w:rPr>
        <w:t xml:space="preserve">Electronic health record (EHR) systems generate vast quantities of structured and unstructured patient data. Natural language processing </w:t>
      </w:r>
      <w:r w:rsidRPr="00CB2BB6">
        <w:rPr>
          <w:rFonts w:ascii="Times New Roman" w:hAnsi="Times New Roman" w:cs="Times New Roman"/>
          <w:sz w:val="32"/>
          <w:szCs w:val="32"/>
        </w:rPr>
        <w:lastRenderedPageBreak/>
        <w:t>(NLP) models extract clinically relevant features from physician notes, discharge summaries, and laboratory reports, enabling predictive models to identify patients at elevated risk for conditions such as sepsis, hospital readmission, and chronic kidney disease. The integration of ML into hospital information systems supports early intervention protocols and reduces adverse clinical events.</w:t>
      </w:r>
    </w:p>
    <w:p w14:paraId="348F5E9E" w14:textId="77777777" w:rsidR="00F755B3" w:rsidRPr="00CB2BB6" w:rsidRDefault="00000000">
      <w:pPr>
        <w:spacing w:after="120" w:line="360" w:lineRule="auto"/>
        <w:jc w:val="both"/>
        <w:rPr>
          <w:rFonts w:ascii="Times New Roman" w:hAnsi="Times New Roman" w:cs="Times New Roman"/>
          <w:sz w:val="32"/>
          <w:szCs w:val="32"/>
        </w:rPr>
      </w:pPr>
      <w:r w:rsidRPr="00CB2BB6">
        <w:rPr>
          <w:rFonts w:ascii="Times New Roman" w:hAnsi="Times New Roman" w:cs="Times New Roman"/>
          <w:sz w:val="32"/>
          <w:szCs w:val="32"/>
        </w:rPr>
        <w:t>In the Indian context, AI-driven diagnostics present a viable solution to the physician-to-patient ratio challenge, particularly in Tier-2 and Tier-3 cities where specialist access remains limited. Platforms developed by domestic startups and government-backed initiatives are exploring AI-assisted triage and teleconsultation support.</w:t>
      </w:r>
    </w:p>
    <w:p w14:paraId="7B2D97E1" w14:textId="77777777" w:rsidR="00F755B3" w:rsidRPr="00CB2BB6" w:rsidRDefault="00000000">
      <w:pPr>
        <w:pStyle w:val="Heading2"/>
        <w:rPr>
          <w:rFonts w:ascii="Times New Roman" w:hAnsi="Times New Roman" w:cs="Times New Roman"/>
          <w:sz w:val="32"/>
          <w:szCs w:val="32"/>
          <w:u w:val="single"/>
        </w:rPr>
      </w:pPr>
      <w:r w:rsidRPr="00CB2BB6">
        <w:rPr>
          <w:rFonts w:ascii="Times New Roman" w:hAnsi="Times New Roman" w:cs="Times New Roman"/>
          <w:sz w:val="32"/>
          <w:szCs w:val="32"/>
          <w:u w:val="single"/>
        </w:rPr>
        <w:t>2.2 Predictive Analytics in Finance</w:t>
      </w:r>
    </w:p>
    <w:p w14:paraId="1F2893B1" w14:textId="77777777" w:rsidR="00F755B3" w:rsidRPr="00CB2BB6" w:rsidRDefault="00000000">
      <w:pPr>
        <w:spacing w:after="120" w:line="360" w:lineRule="auto"/>
        <w:jc w:val="both"/>
        <w:rPr>
          <w:rFonts w:ascii="Times New Roman" w:hAnsi="Times New Roman" w:cs="Times New Roman"/>
          <w:sz w:val="32"/>
          <w:szCs w:val="32"/>
        </w:rPr>
      </w:pPr>
      <w:r w:rsidRPr="00CB2BB6">
        <w:rPr>
          <w:rFonts w:ascii="Times New Roman" w:hAnsi="Times New Roman" w:cs="Times New Roman"/>
          <w:sz w:val="32"/>
          <w:szCs w:val="32"/>
        </w:rPr>
        <w:t>Predictive analytics refers to the application of statistical algorithms and ML models to forecast future outcomes based on historical data. Within the financial sector, predictive analytics addresses credit risk assessment, algorithmic trading, fraud detection, and portfolio optimisation.</w:t>
      </w:r>
    </w:p>
    <w:p w14:paraId="72B6B800" w14:textId="77777777" w:rsidR="00F755B3" w:rsidRPr="00CB2BB6" w:rsidRDefault="00000000">
      <w:pPr>
        <w:spacing w:after="120" w:line="360" w:lineRule="auto"/>
        <w:jc w:val="both"/>
        <w:rPr>
          <w:rFonts w:ascii="Times New Roman" w:hAnsi="Times New Roman" w:cs="Times New Roman"/>
          <w:sz w:val="32"/>
          <w:szCs w:val="32"/>
        </w:rPr>
      </w:pPr>
      <w:r w:rsidRPr="00CB2BB6">
        <w:rPr>
          <w:rFonts w:ascii="Times New Roman" w:hAnsi="Times New Roman" w:cs="Times New Roman"/>
          <w:sz w:val="32"/>
          <w:szCs w:val="32"/>
        </w:rPr>
        <w:t xml:space="preserve">Credit risk models built on gradient boosting algorithms, such as </w:t>
      </w:r>
      <w:proofErr w:type="spellStart"/>
      <w:r w:rsidRPr="00CB2BB6">
        <w:rPr>
          <w:rFonts w:ascii="Times New Roman" w:hAnsi="Times New Roman" w:cs="Times New Roman"/>
          <w:sz w:val="32"/>
          <w:szCs w:val="32"/>
        </w:rPr>
        <w:t>XGBoost</w:t>
      </w:r>
      <w:proofErr w:type="spellEnd"/>
      <w:r w:rsidRPr="00CB2BB6">
        <w:rPr>
          <w:rFonts w:ascii="Times New Roman" w:hAnsi="Times New Roman" w:cs="Times New Roman"/>
          <w:sz w:val="32"/>
          <w:szCs w:val="32"/>
        </w:rPr>
        <w:t xml:space="preserve"> and </w:t>
      </w:r>
      <w:proofErr w:type="spellStart"/>
      <w:r w:rsidRPr="00CB2BB6">
        <w:rPr>
          <w:rFonts w:ascii="Times New Roman" w:hAnsi="Times New Roman" w:cs="Times New Roman"/>
          <w:sz w:val="32"/>
          <w:szCs w:val="32"/>
        </w:rPr>
        <w:t>LightGBM</w:t>
      </w:r>
      <w:proofErr w:type="spellEnd"/>
      <w:r w:rsidRPr="00CB2BB6">
        <w:rPr>
          <w:rFonts w:ascii="Times New Roman" w:hAnsi="Times New Roman" w:cs="Times New Roman"/>
          <w:sz w:val="32"/>
          <w:szCs w:val="32"/>
        </w:rPr>
        <w:t>, evaluate applicant creditworthiness by processing hundreds of features—transaction history, repayment behaviour, income volatility—simultaneously. These models demonstrate superior discriminative power compared to traditional logistic regression approaches, as evidenced by higher area under the ROC curve (AUC) metrics across benchmark datasets.</w:t>
      </w:r>
    </w:p>
    <w:p w14:paraId="66BDDBDF" w14:textId="77777777" w:rsidR="00F755B3" w:rsidRPr="00CB2BB6" w:rsidRDefault="00000000">
      <w:pPr>
        <w:spacing w:after="120" w:line="360" w:lineRule="auto"/>
        <w:jc w:val="both"/>
        <w:rPr>
          <w:rFonts w:ascii="Times New Roman" w:hAnsi="Times New Roman" w:cs="Times New Roman"/>
          <w:sz w:val="32"/>
          <w:szCs w:val="32"/>
        </w:rPr>
      </w:pPr>
      <w:r w:rsidRPr="00CB2BB6">
        <w:rPr>
          <w:rFonts w:ascii="Times New Roman" w:hAnsi="Times New Roman" w:cs="Times New Roman"/>
          <w:sz w:val="32"/>
          <w:szCs w:val="32"/>
        </w:rPr>
        <w:lastRenderedPageBreak/>
        <w:t>Algorithmic trading systems execute securities transactions at speeds and frequencies exceeding human capacity. Reinforcement learning agents trained to optimise cumulative portfolio returns have been deployed by quantitative hedge funds and proprietary trading firms. These systems continuously adapt to evolving market microstructure, offering a competitive advantage over static rule-based strategies.</w:t>
      </w:r>
    </w:p>
    <w:p w14:paraId="1CA8EE3A" w14:textId="77777777" w:rsidR="00F755B3" w:rsidRPr="00CB2BB6" w:rsidRDefault="00000000">
      <w:pPr>
        <w:spacing w:after="120" w:line="360" w:lineRule="auto"/>
        <w:jc w:val="both"/>
        <w:rPr>
          <w:rFonts w:ascii="Times New Roman" w:hAnsi="Times New Roman" w:cs="Times New Roman"/>
          <w:sz w:val="32"/>
          <w:szCs w:val="32"/>
        </w:rPr>
      </w:pPr>
      <w:r w:rsidRPr="00CB2BB6">
        <w:rPr>
          <w:rFonts w:ascii="Times New Roman" w:hAnsi="Times New Roman" w:cs="Times New Roman"/>
          <w:sz w:val="32"/>
          <w:szCs w:val="32"/>
        </w:rPr>
        <w:t>Fraud detection systems apply anomaly detection methods—including autoencoders and isolation forests—to identify transactional patterns deviating from established baselines. Real-time scoring of individual transactions enables financial institutions to flag suspicious activity within milliseconds. The Reserve Bank of India and major public-sector banks have increasingly adopted such systems to mitigate cybersecurity risks associated with the growth of digital payment infrastructure.</w:t>
      </w:r>
    </w:p>
    <w:p w14:paraId="17C7F659" w14:textId="77777777" w:rsidR="00F755B3" w:rsidRPr="00CB2BB6" w:rsidRDefault="00000000">
      <w:pPr>
        <w:pStyle w:val="Heading2"/>
        <w:rPr>
          <w:rFonts w:ascii="Times New Roman" w:hAnsi="Times New Roman" w:cs="Times New Roman"/>
          <w:sz w:val="32"/>
          <w:szCs w:val="32"/>
          <w:u w:val="single"/>
        </w:rPr>
      </w:pPr>
      <w:r w:rsidRPr="00CB2BB6">
        <w:rPr>
          <w:rFonts w:ascii="Times New Roman" w:hAnsi="Times New Roman" w:cs="Times New Roman"/>
          <w:sz w:val="32"/>
          <w:szCs w:val="32"/>
          <w:u w:val="single"/>
        </w:rPr>
        <w:t>2.3 AI in Industrial Automation</w:t>
      </w:r>
    </w:p>
    <w:p w14:paraId="6D426E8D" w14:textId="77777777" w:rsidR="00F755B3" w:rsidRPr="00CB2BB6" w:rsidRDefault="00000000">
      <w:pPr>
        <w:spacing w:after="120" w:line="360" w:lineRule="auto"/>
        <w:jc w:val="both"/>
        <w:rPr>
          <w:rFonts w:ascii="Times New Roman" w:hAnsi="Times New Roman" w:cs="Times New Roman"/>
          <w:sz w:val="32"/>
          <w:szCs w:val="32"/>
        </w:rPr>
      </w:pPr>
      <w:r w:rsidRPr="00CB2BB6">
        <w:rPr>
          <w:rFonts w:ascii="Times New Roman" w:hAnsi="Times New Roman" w:cs="Times New Roman"/>
          <w:sz w:val="32"/>
          <w:szCs w:val="32"/>
        </w:rPr>
        <w:t>Industrial automation, encompassing manufacturing, logistics, and process control, has undergone significant transformation through the integration of AI-based techniques. This application domain is particularly relevant to Module 5, which addresses automated systems and intelligent process control.</w:t>
      </w:r>
    </w:p>
    <w:p w14:paraId="2897F63C" w14:textId="77777777" w:rsidR="00F755B3" w:rsidRPr="00CB2BB6" w:rsidRDefault="00000000">
      <w:pPr>
        <w:spacing w:after="120" w:line="360" w:lineRule="auto"/>
        <w:jc w:val="both"/>
        <w:rPr>
          <w:rFonts w:ascii="Times New Roman" w:hAnsi="Times New Roman" w:cs="Times New Roman"/>
          <w:sz w:val="32"/>
          <w:szCs w:val="32"/>
        </w:rPr>
      </w:pPr>
      <w:r w:rsidRPr="00CB2BB6">
        <w:rPr>
          <w:rFonts w:ascii="Times New Roman" w:hAnsi="Times New Roman" w:cs="Times New Roman"/>
          <w:sz w:val="32"/>
          <w:szCs w:val="32"/>
        </w:rPr>
        <w:t xml:space="preserve">Computer vision systems mounted on production lines perform real-time quality inspection, identifying surface defects, dimensional deviations, and assembly errors at speeds unattainable through manual inspection. Recurrent neural networks (RNNs) and long short-term memory (LSTM) </w:t>
      </w:r>
      <w:r w:rsidRPr="00CB2BB6">
        <w:rPr>
          <w:rFonts w:ascii="Times New Roman" w:hAnsi="Times New Roman" w:cs="Times New Roman"/>
          <w:sz w:val="32"/>
          <w:szCs w:val="32"/>
        </w:rPr>
        <w:lastRenderedPageBreak/>
        <w:t>architectures enable predictive maintenance by analysing time-series sensor data from industrial machinery. These models identify early precursors of mechanical failure, allowing maintenance teams to intervene before unplanned downtime occurs.</w:t>
      </w:r>
    </w:p>
    <w:p w14:paraId="68CE1B8F" w14:textId="77777777" w:rsidR="00F755B3" w:rsidRPr="00CB2BB6" w:rsidRDefault="00000000">
      <w:pPr>
        <w:spacing w:after="120" w:line="360" w:lineRule="auto"/>
        <w:jc w:val="both"/>
        <w:rPr>
          <w:rFonts w:ascii="Times New Roman" w:hAnsi="Times New Roman" w:cs="Times New Roman"/>
          <w:sz w:val="32"/>
          <w:szCs w:val="32"/>
        </w:rPr>
      </w:pPr>
      <w:r w:rsidRPr="00CB2BB6">
        <w:rPr>
          <w:rFonts w:ascii="Times New Roman" w:hAnsi="Times New Roman" w:cs="Times New Roman"/>
          <w:sz w:val="32"/>
          <w:szCs w:val="32"/>
        </w:rPr>
        <w:t>Robotic process automation (RPA), augmented with ML, enables collaborative robots (cobots) to adapt to variable task environments. Unlike traditional robots programmed for rigid, repetitive motions, cobots equipped with reinforcement learning capabilities adjust their operational parameters based on environmental feedback, improving throughput and reducing error rates.</w:t>
      </w:r>
    </w:p>
    <w:p w14:paraId="46042CE4" w14:textId="77777777" w:rsidR="00F755B3" w:rsidRPr="00CB2BB6" w:rsidRDefault="00000000">
      <w:pPr>
        <w:spacing w:after="120" w:line="360" w:lineRule="auto"/>
        <w:jc w:val="both"/>
        <w:rPr>
          <w:rFonts w:ascii="Times New Roman" w:hAnsi="Times New Roman" w:cs="Times New Roman"/>
          <w:sz w:val="32"/>
          <w:szCs w:val="32"/>
        </w:rPr>
      </w:pPr>
      <w:r w:rsidRPr="00CB2BB6">
        <w:rPr>
          <w:rFonts w:ascii="Times New Roman" w:hAnsi="Times New Roman" w:cs="Times New Roman"/>
          <w:sz w:val="32"/>
          <w:szCs w:val="32"/>
        </w:rPr>
        <w:t>The Industrial Internet of Things (</w:t>
      </w:r>
      <w:proofErr w:type="spellStart"/>
      <w:r w:rsidRPr="00CB2BB6">
        <w:rPr>
          <w:rFonts w:ascii="Times New Roman" w:hAnsi="Times New Roman" w:cs="Times New Roman"/>
          <w:sz w:val="32"/>
          <w:szCs w:val="32"/>
        </w:rPr>
        <w:t>IIoT</w:t>
      </w:r>
      <w:proofErr w:type="spellEnd"/>
      <w:r w:rsidRPr="00CB2BB6">
        <w:rPr>
          <w:rFonts w:ascii="Times New Roman" w:hAnsi="Times New Roman" w:cs="Times New Roman"/>
          <w:sz w:val="32"/>
          <w:szCs w:val="32"/>
        </w:rPr>
        <w:t>), combined with edge AI, enables real-time inference at the sensor level, reducing latency and bandwidth requirements compared to cloud-centric architectures. Manufacturers implementing AI-driven automation report measurable reductions in operational costs, energy consumption, and defect rates, contributing to improved overall equipment effectiveness (OEE).</w:t>
      </w:r>
    </w:p>
    <w:p w14:paraId="293B0EE8" w14:textId="77777777" w:rsidR="00F755B3" w:rsidRPr="00CB2BB6" w:rsidRDefault="00000000">
      <w:pPr>
        <w:rPr>
          <w:rFonts w:ascii="Times New Roman" w:hAnsi="Times New Roman" w:cs="Times New Roman"/>
          <w:sz w:val="32"/>
          <w:szCs w:val="32"/>
        </w:rPr>
      </w:pPr>
      <w:r w:rsidRPr="00CB2BB6">
        <w:rPr>
          <w:rFonts w:ascii="Times New Roman" w:hAnsi="Times New Roman" w:cs="Times New Roman"/>
          <w:sz w:val="32"/>
          <w:szCs w:val="32"/>
        </w:rPr>
        <w:br w:type="page"/>
      </w:r>
    </w:p>
    <w:p w14:paraId="59B79938" w14:textId="77777777" w:rsidR="00F755B3" w:rsidRPr="00CB2BB6" w:rsidRDefault="00000000">
      <w:pPr>
        <w:pStyle w:val="Heading1"/>
        <w:rPr>
          <w:rFonts w:ascii="Times New Roman" w:hAnsi="Times New Roman" w:cs="Times New Roman"/>
          <w:u w:val="single"/>
        </w:rPr>
      </w:pPr>
      <w:r w:rsidRPr="00CB2BB6">
        <w:rPr>
          <w:rFonts w:ascii="Times New Roman" w:hAnsi="Times New Roman" w:cs="Times New Roman"/>
          <w:u w:val="single"/>
        </w:rPr>
        <w:lastRenderedPageBreak/>
        <w:t>3. Implementation and Challenges</w:t>
      </w:r>
    </w:p>
    <w:p w14:paraId="737DE95C" w14:textId="77777777" w:rsidR="00F755B3" w:rsidRPr="00CB2BB6" w:rsidRDefault="00000000">
      <w:pPr>
        <w:spacing w:after="120" w:line="360" w:lineRule="auto"/>
        <w:jc w:val="both"/>
        <w:rPr>
          <w:rFonts w:ascii="Times New Roman" w:hAnsi="Times New Roman" w:cs="Times New Roman"/>
          <w:sz w:val="32"/>
          <w:szCs w:val="32"/>
        </w:rPr>
      </w:pPr>
      <w:r w:rsidRPr="00CB2BB6">
        <w:rPr>
          <w:rFonts w:ascii="Times New Roman" w:hAnsi="Times New Roman" w:cs="Times New Roman"/>
          <w:sz w:val="32"/>
          <w:szCs w:val="32"/>
        </w:rPr>
        <w:t>Despite substantial progress, the widespread deployment of AI systems encounters a range of technical, ethical, and organisational challenges. Engineering practitioners must address these considerations systematically to ensure responsible and effective implementation.</w:t>
      </w:r>
    </w:p>
    <w:p w14:paraId="406E5D77" w14:textId="77777777" w:rsidR="00F755B3" w:rsidRPr="00CB2BB6" w:rsidRDefault="00000000">
      <w:pPr>
        <w:pStyle w:val="Heading2"/>
        <w:rPr>
          <w:rFonts w:ascii="Times New Roman" w:hAnsi="Times New Roman" w:cs="Times New Roman"/>
          <w:sz w:val="32"/>
          <w:szCs w:val="32"/>
          <w:u w:val="single"/>
        </w:rPr>
      </w:pPr>
      <w:r w:rsidRPr="00CB2BB6">
        <w:rPr>
          <w:rFonts w:ascii="Times New Roman" w:hAnsi="Times New Roman" w:cs="Times New Roman"/>
          <w:sz w:val="32"/>
          <w:szCs w:val="32"/>
          <w:u w:val="single"/>
        </w:rPr>
        <w:t>3.1 Ethical Considerations</w:t>
      </w:r>
    </w:p>
    <w:p w14:paraId="65047F8F" w14:textId="77777777" w:rsidR="00F755B3" w:rsidRPr="00CB2BB6" w:rsidRDefault="00000000">
      <w:pPr>
        <w:spacing w:after="120" w:line="360" w:lineRule="auto"/>
        <w:jc w:val="both"/>
        <w:rPr>
          <w:rFonts w:ascii="Times New Roman" w:hAnsi="Times New Roman" w:cs="Times New Roman"/>
          <w:sz w:val="32"/>
          <w:szCs w:val="32"/>
        </w:rPr>
      </w:pPr>
      <w:r w:rsidRPr="00CB2BB6">
        <w:rPr>
          <w:rFonts w:ascii="Times New Roman" w:hAnsi="Times New Roman" w:cs="Times New Roman"/>
          <w:sz w:val="32"/>
          <w:szCs w:val="32"/>
        </w:rPr>
        <w:t>AI systems trained on historical data risk encoding and perpetuating existing societal biases. Biased training data produces discriminatory model outputs, which may disadvantage individuals on the basis of gender, ethnicity, or socioeconomic status in applications such as hiring, lending, and law enforcement. The field of algorithmic fairness seeks to develop metrics and mitigation strategies—including re-sampling, adversarial debiasing, and post-hoc correction—to address these disparities.</w:t>
      </w:r>
    </w:p>
    <w:p w14:paraId="789E8F46" w14:textId="77777777" w:rsidR="00F755B3" w:rsidRPr="00CB2BB6" w:rsidRDefault="00000000">
      <w:pPr>
        <w:spacing w:after="120" w:line="360" w:lineRule="auto"/>
        <w:jc w:val="both"/>
        <w:rPr>
          <w:rFonts w:ascii="Times New Roman" w:hAnsi="Times New Roman" w:cs="Times New Roman"/>
          <w:sz w:val="32"/>
          <w:szCs w:val="32"/>
        </w:rPr>
      </w:pPr>
      <w:r w:rsidRPr="00CB2BB6">
        <w:rPr>
          <w:rFonts w:ascii="Times New Roman" w:hAnsi="Times New Roman" w:cs="Times New Roman"/>
          <w:sz w:val="32"/>
          <w:szCs w:val="32"/>
        </w:rPr>
        <w:t>Explainability constitutes an additional ethical requirement, particularly in regulated domains. High-complexity models such as deep neural networks often function as black boxes, providing predictions without interpretable reasoning. Techniques including LIME (Local Interpretable Model-Agnostic Explanations) and SHAP (</w:t>
      </w:r>
      <w:proofErr w:type="spellStart"/>
      <w:r w:rsidRPr="00CB2BB6">
        <w:rPr>
          <w:rFonts w:ascii="Times New Roman" w:hAnsi="Times New Roman" w:cs="Times New Roman"/>
          <w:sz w:val="32"/>
          <w:szCs w:val="32"/>
        </w:rPr>
        <w:t>SHapley</w:t>
      </w:r>
      <w:proofErr w:type="spellEnd"/>
      <w:r w:rsidRPr="00CB2BB6">
        <w:rPr>
          <w:rFonts w:ascii="Times New Roman" w:hAnsi="Times New Roman" w:cs="Times New Roman"/>
          <w:sz w:val="32"/>
          <w:szCs w:val="32"/>
        </w:rPr>
        <w:t xml:space="preserve"> Additive </w:t>
      </w:r>
      <w:proofErr w:type="spellStart"/>
      <w:r w:rsidRPr="00CB2BB6">
        <w:rPr>
          <w:rFonts w:ascii="Times New Roman" w:hAnsi="Times New Roman" w:cs="Times New Roman"/>
          <w:sz w:val="32"/>
          <w:szCs w:val="32"/>
        </w:rPr>
        <w:t>exPlanations</w:t>
      </w:r>
      <w:proofErr w:type="spellEnd"/>
      <w:r w:rsidRPr="00CB2BB6">
        <w:rPr>
          <w:rFonts w:ascii="Times New Roman" w:hAnsi="Times New Roman" w:cs="Times New Roman"/>
          <w:sz w:val="32"/>
          <w:szCs w:val="32"/>
        </w:rPr>
        <w:t>) partially address this limitation by providing localised, feature-level explanations. Regulatory frameworks in the European Union, including the AI Act, impose explainability requirements on high-risk AI deployments.</w:t>
      </w:r>
    </w:p>
    <w:p w14:paraId="75EB7A12" w14:textId="77777777" w:rsidR="00F755B3" w:rsidRPr="00CB2BB6" w:rsidRDefault="00000000">
      <w:pPr>
        <w:pStyle w:val="Heading2"/>
        <w:rPr>
          <w:rFonts w:ascii="Times New Roman" w:hAnsi="Times New Roman" w:cs="Times New Roman"/>
          <w:sz w:val="32"/>
          <w:szCs w:val="32"/>
          <w:u w:val="single"/>
        </w:rPr>
      </w:pPr>
      <w:r w:rsidRPr="00CB2BB6">
        <w:rPr>
          <w:rFonts w:ascii="Times New Roman" w:hAnsi="Times New Roman" w:cs="Times New Roman"/>
          <w:sz w:val="32"/>
          <w:szCs w:val="32"/>
          <w:u w:val="single"/>
        </w:rPr>
        <w:lastRenderedPageBreak/>
        <w:t>3.2 Security Challenges</w:t>
      </w:r>
    </w:p>
    <w:p w14:paraId="65B6F84D" w14:textId="77777777" w:rsidR="00F755B3" w:rsidRPr="00CB2BB6" w:rsidRDefault="00000000">
      <w:pPr>
        <w:spacing w:after="120" w:line="360" w:lineRule="auto"/>
        <w:jc w:val="both"/>
        <w:rPr>
          <w:rFonts w:ascii="Times New Roman" w:hAnsi="Times New Roman" w:cs="Times New Roman"/>
          <w:sz w:val="32"/>
          <w:szCs w:val="32"/>
        </w:rPr>
      </w:pPr>
      <w:r w:rsidRPr="00CB2BB6">
        <w:rPr>
          <w:rFonts w:ascii="Times New Roman" w:hAnsi="Times New Roman" w:cs="Times New Roman"/>
          <w:sz w:val="32"/>
          <w:szCs w:val="32"/>
        </w:rPr>
        <w:t>AI systems are susceptible to adversarial attacks, in which carefully crafted perturbations to input data induce incorrect model predictions. In safety-critical applications—such as autonomous vehicles and medical imaging—adversarial vulnerabilities pose significant risks. Adversarial training and input sanitisation are among the defensive strategies under active investigation.</w:t>
      </w:r>
    </w:p>
    <w:p w14:paraId="3760943D" w14:textId="77777777" w:rsidR="00F755B3" w:rsidRPr="00CB2BB6" w:rsidRDefault="00000000">
      <w:pPr>
        <w:spacing w:after="120" w:line="360" w:lineRule="auto"/>
        <w:jc w:val="both"/>
        <w:rPr>
          <w:rFonts w:ascii="Times New Roman" w:hAnsi="Times New Roman" w:cs="Times New Roman"/>
          <w:sz w:val="32"/>
          <w:szCs w:val="32"/>
        </w:rPr>
      </w:pPr>
      <w:r w:rsidRPr="00CB2BB6">
        <w:rPr>
          <w:rFonts w:ascii="Times New Roman" w:hAnsi="Times New Roman" w:cs="Times New Roman"/>
          <w:sz w:val="32"/>
          <w:szCs w:val="32"/>
        </w:rPr>
        <w:t>Data poisoning represents a threat at the training stage, where malicious actors introduce corrupted samples to degrade model performance or introduce backdoors. Secure AI pipelines require stringent data provenance and integrity verification mechanisms.</w:t>
      </w:r>
    </w:p>
    <w:p w14:paraId="0F23C214" w14:textId="77777777" w:rsidR="00F755B3" w:rsidRPr="00CB2BB6" w:rsidRDefault="00000000">
      <w:pPr>
        <w:pStyle w:val="Heading2"/>
        <w:rPr>
          <w:rFonts w:ascii="Times New Roman" w:hAnsi="Times New Roman" w:cs="Times New Roman"/>
          <w:sz w:val="32"/>
          <w:szCs w:val="32"/>
          <w:u w:val="single"/>
        </w:rPr>
      </w:pPr>
      <w:r w:rsidRPr="00CB2BB6">
        <w:rPr>
          <w:rFonts w:ascii="Times New Roman" w:hAnsi="Times New Roman" w:cs="Times New Roman"/>
          <w:sz w:val="32"/>
          <w:szCs w:val="32"/>
          <w:u w:val="single"/>
        </w:rPr>
        <w:t>3.3 Scalability Challenges</w:t>
      </w:r>
    </w:p>
    <w:p w14:paraId="69D92B8A" w14:textId="77777777" w:rsidR="00F755B3" w:rsidRPr="00CB2BB6" w:rsidRDefault="00000000">
      <w:pPr>
        <w:spacing w:after="120" w:line="360" w:lineRule="auto"/>
        <w:jc w:val="both"/>
        <w:rPr>
          <w:rFonts w:ascii="Times New Roman" w:hAnsi="Times New Roman" w:cs="Times New Roman"/>
          <w:sz w:val="32"/>
          <w:szCs w:val="32"/>
        </w:rPr>
      </w:pPr>
      <w:r w:rsidRPr="00CB2BB6">
        <w:rPr>
          <w:rFonts w:ascii="Times New Roman" w:hAnsi="Times New Roman" w:cs="Times New Roman"/>
          <w:sz w:val="32"/>
          <w:szCs w:val="32"/>
        </w:rPr>
        <w:t>Training large-scale AI models demands substantial computational resources, creating barriers to entry for organisations with limited infrastructure. The carbon footprint of training large language models and deep neural networks has attracted environmental scrutiny. Efficient model design approaches—including pruning, quantisation, and knowledge distillation—reduce computational overhead without proportionate performance degradation.</w:t>
      </w:r>
    </w:p>
    <w:p w14:paraId="4B6848C4" w14:textId="77777777" w:rsidR="00F755B3" w:rsidRPr="00CB2BB6" w:rsidRDefault="00000000">
      <w:pPr>
        <w:spacing w:after="120" w:line="360" w:lineRule="auto"/>
        <w:jc w:val="both"/>
        <w:rPr>
          <w:rFonts w:ascii="Times New Roman" w:hAnsi="Times New Roman" w:cs="Times New Roman"/>
          <w:sz w:val="32"/>
          <w:szCs w:val="32"/>
        </w:rPr>
      </w:pPr>
      <w:r w:rsidRPr="00CB2BB6">
        <w:rPr>
          <w:rFonts w:ascii="Times New Roman" w:hAnsi="Times New Roman" w:cs="Times New Roman"/>
          <w:sz w:val="32"/>
          <w:szCs w:val="32"/>
        </w:rPr>
        <w:t xml:space="preserve">Data privacy regulations, including India's Digital Personal Data Protection Act, 2023, impose constraints on data collection and usage that affect the availability of training datasets. Federated learning, which trains </w:t>
      </w:r>
      <w:r w:rsidRPr="00CB2BB6">
        <w:rPr>
          <w:rFonts w:ascii="Times New Roman" w:hAnsi="Times New Roman" w:cs="Times New Roman"/>
          <w:sz w:val="32"/>
          <w:szCs w:val="32"/>
        </w:rPr>
        <w:lastRenderedPageBreak/>
        <w:t>models across distributed devices without centralising raw data, offers a technically viable approach to privacy-preserving ML at scale.</w:t>
      </w:r>
    </w:p>
    <w:p w14:paraId="7ABC55CD" w14:textId="77777777" w:rsidR="00F755B3" w:rsidRPr="00CB2BB6" w:rsidRDefault="00000000">
      <w:pPr>
        <w:pStyle w:val="Heading1"/>
        <w:rPr>
          <w:rFonts w:ascii="Times New Roman" w:hAnsi="Times New Roman" w:cs="Times New Roman"/>
          <w:u w:val="single"/>
        </w:rPr>
      </w:pPr>
      <w:r w:rsidRPr="00CB2BB6">
        <w:rPr>
          <w:rFonts w:ascii="Times New Roman" w:hAnsi="Times New Roman" w:cs="Times New Roman"/>
          <w:u w:val="single"/>
        </w:rPr>
        <w:t>4. Conclusion</w:t>
      </w:r>
    </w:p>
    <w:p w14:paraId="26348812" w14:textId="77777777" w:rsidR="00F755B3" w:rsidRPr="00CB2BB6" w:rsidRDefault="00000000">
      <w:pPr>
        <w:spacing w:after="120" w:line="360" w:lineRule="auto"/>
        <w:jc w:val="both"/>
        <w:rPr>
          <w:rFonts w:ascii="Times New Roman" w:hAnsi="Times New Roman" w:cs="Times New Roman"/>
          <w:sz w:val="32"/>
          <w:szCs w:val="32"/>
        </w:rPr>
      </w:pPr>
      <w:r w:rsidRPr="00CB2BB6">
        <w:rPr>
          <w:rFonts w:ascii="Times New Roman" w:hAnsi="Times New Roman" w:cs="Times New Roman"/>
          <w:sz w:val="32"/>
          <w:szCs w:val="32"/>
        </w:rPr>
        <w:t>Artificial Intelligence has transitioned from a theoretical construct to an applied engineering discipline with demonstrated impact across healthcare, finance, and industrial automation. The subfields of machine learning, computer vision, and reinforcement learning provide the technical foundations for these applications, with ongoing research continuously expanding capability boundaries.</w:t>
      </w:r>
    </w:p>
    <w:p w14:paraId="4854D1E9" w14:textId="77777777" w:rsidR="00F755B3" w:rsidRPr="00CB2BB6" w:rsidRDefault="00000000">
      <w:pPr>
        <w:spacing w:after="120" w:line="360" w:lineRule="auto"/>
        <w:jc w:val="both"/>
        <w:rPr>
          <w:rFonts w:ascii="Times New Roman" w:hAnsi="Times New Roman" w:cs="Times New Roman"/>
          <w:sz w:val="32"/>
          <w:szCs w:val="32"/>
        </w:rPr>
      </w:pPr>
      <w:r w:rsidRPr="00CB2BB6">
        <w:rPr>
          <w:rFonts w:ascii="Times New Roman" w:hAnsi="Times New Roman" w:cs="Times New Roman"/>
          <w:sz w:val="32"/>
          <w:szCs w:val="32"/>
        </w:rPr>
        <w:t>For the Indian engineering sector, AI presents significant opportunities aligned with national strategic priorities. The Government of India's National AI Strategy, administered through NITI Aayog, identifies healthcare, agriculture, education, smart cities, and transportation as priority sectors for AI deployment. Domestic engineering institutions play a critical role in building the human capital required to design, evaluate, and govern AI systems.</w:t>
      </w:r>
    </w:p>
    <w:p w14:paraId="7905BA66" w14:textId="77777777" w:rsidR="00F755B3" w:rsidRPr="00CB2BB6" w:rsidRDefault="00000000">
      <w:pPr>
        <w:spacing w:after="120" w:line="360" w:lineRule="auto"/>
        <w:jc w:val="both"/>
        <w:rPr>
          <w:rFonts w:ascii="Times New Roman" w:hAnsi="Times New Roman" w:cs="Times New Roman"/>
          <w:sz w:val="32"/>
          <w:szCs w:val="32"/>
        </w:rPr>
      </w:pPr>
      <w:r w:rsidRPr="00CB2BB6">
        <w:rPr>
          <w:rFonts w:ascii="Times New Roman" w:hAnsi="Times New Roman" w:cs="Times New Roman"/>
          <w:sz w:val="32"/>
          <w:szCs w:val="32"/>
        </w:rPr>
        <w:t xml:space="preserve">The future of AI in Indian engineering will be shaped by the convergence of affordable cloud infrastructure, increasing data availability, and a growing cohort of trained AI practitioners. Concurrently, the sector must develop robust regulatory and ethical frameworks to ensure that AI-driven systems operate transparently, equitably, and securely. The engineering graduate of the coming decade must possess competencies not only in </w:t>
      </w:r>
      <w:r w:rsidRPr="00CB2BB6">
        <w:rPr>
          <w:rFonts w:ascii="Times New Roman" w:hAnsi="Times New Roman" w:cs="Times New Roman"/>
          <w:sz w:val="32"/>
          <w:szCs w:val="32"/>
        </w:rPr>
        <w:lastRenderedPageBreak/>
        <w:t>model development but also in the responsible integration of AI within complex sociotechnical systems.</w:t>
      </w:r>
    </w:p>
    <w:p w14:paraId="6BCCC454" w14:textId="77777777" w:rsidR="00F755B3" w:rsidRPr="00CB2BB6" w:rsidRDefault="00000000">
      <w:pPr>
        <w:pStyle w:val="Heading1"/>
        <w:rPr>
          <w:rFonts w:ascii="Times New Roman" w:hAnsi="Times New Roman" w:cs="Times New Roman"/>
          <w:u w:val="single"/>
        </w:rPr>
      </w:pPr>
      <w:r w:rsidRPr="00CB2BB6">
        <w:rPr>
          <w:rFonts w:ascii="Times New Roman" w:hAnsi="Times New Roman" w:cs="Times New Roman"/>
          <w:u w:val="single"/>
        </w:rPr>
        <w:t>5. References</w:t>
      </w:r>
    </w:p>
    <w:p w14:paraId="2994AC4C" w14:textId="77777777" w:rsidR="00F755B3" w:rsidRPr="00CB2BB6" w:rsidRDefault="00000000">
      <w:pPr>
        <w:spacing w:before="60" w:after="60" w:line="360" w:lineRule="auto"/>
        <w:ind w:left="720" w:hanging="720"/>
        <w:jc w:val="both"/>
        <w:rPr>
          <w:rFonts w:ascii="Times New Roman" w:hAnsi="Times New Roman" w:cs="Times New Roman"/>
          <w:sz w:val="32"/>
          <w:szCs w:val="32"/>
        </w:rPr>
      </w:pPr>
      <w:r w:rsidRPr="00CB2BB6">
        <w:rPr>
          <w:rFonts w:ascii="Times New Roman" w:hAnsi="Times New Roman" w:cs="Times New Roman"/>
          <w:sz w:val="32"/>
          <w:szCs w:val="32"/>
        </w:rPr>
        <w:t>[1</w:t>
      </w:r>
      <w:proofErr w:type="gramStart"/>
      <w:r w:rsidRPr="00CB2BB6">
        <w:rPr>
          <w:rFonts w:ascii="Times New Roman" w:hAnsi="Times New Roman" w:cs="Times New Roman"/>
          <w:sz w:val="32"/>
          <w:szCs w:val="32"/>
        </w:rPr>
        <w:t>]  LeCun</w:t>
      </w:r>
      <w:proofErr w:type="gramEnd"/>
      <w:r w:rsidRPr="00CB2BB6">
        <w:rPr>
          <w:rFonts w:ascii="Times New Roman" w:hAnsi="Times New Roman" w:cs="Times New Roman"/>
          <w:sz w:val="32"/>
          <w:szCs w:val="32"/>
        </w:rPr>
        <w:t>, Y., Bengio, Y., &amp; Hinton, G. (2015). Deep learning. Nature, 521(7553), 436–444. https://doi.org/10.1038/nature14539</w:t>
      </w:r>
    </w:p>
    <w:p w14:paraId="47A2BB19" w14:textId="77777777" w:rsidR="00F755B3" w:rsidRPr="00CB2BB6" w:rsidRDefault="00000000">
      <w:pPr>
        <w:spacing w:before="60" w:after="60" w:line="360" w:lineRule="auto"/>
        <w:ind w:left="720" w:hanging="720"/>
        <w:jc w:val="both"/>
        <w:rPr>
          <w:rFonts w:ascii="Times New Roman" w:hAnsi="Times New Roman" w:cs="Times New Roman"/>
          <w:sz w:val="32"/>
          <w:szCs w:val="32"/>
        </w:rPr>
      </w:pPr>
      <w:r w:rsidRPr="00CB2BB6">
        <w:rPr>
          <w:rFonts w:ascii="Times New Roman" w:hAnsi="Times New Roman" w:cs="Times New Roman"/>
          <w:sz w:val="32"/>
          <w:szCs w:val="32"/>
        </w:rPr>
        <w:t>[2</w:t>
      </w:r>
      <w:proofErr w:type="gramStart"/>
      <w:r w:rsidRPr="00CB2BB6">
        <w:rPr>
          <w:rFonts w:ascii="Times New Roman" w:hAnsi="Times New Roman" w:cs="Times New Roman"/>
          <w:sz w:val="32"/>
          <w:szCs w:val="32"/>
        </w:rPr>
        <w:t>]  Esteva</w:t>
      </w:r>
      <w:proofErr w:type="gramEnd"/>
      <w:r w:rsidRPr="00CB2BB6">
        <w:rPr>
          <w:rFonts w:ascii="Times New Roman" w:hAnsi="Times New Roman" w:cs="Times New Roman"/>
          <w:sz w:val="32"/>
          <w:szCs w:val="32"/>
        </w:rPr>
        <w:t xml:space="preserve">, A., </w:t>
      </w:r>
      <w:proofErr w:type="spellStart"/>
      <w:r w:rsidRPr="00CB2BB6">
        <w:rPr>
          <w:rFonts w:ascii="Times New Roman" w:hAnsi="Times New Roman" w:cs="Times New Roman"/>
          <w:sz w:val="32"/>
          <w:szCs w:val="32"/>
        </w:rPr>
        <w:t>Kuprel</w:t>
      </w:r>
      <w:proofErr w:type="spellEnd"/>
      <w:r w:rsidRPr="00CB2BB6">
        <w:rPr>
          <w:rFonts w:ascii="Times New Roman" w:hAnsi="Times New Roman" w:cs="Times New Roman"/>
          <w:sz w:val="32"/>
          <w:szCs w:val="32"/>
        </w:rPr>
        <w:t xml:space="preserve">, B., Novoa, R. A., Ko, J., </w:t>
      </w:r>
      <w:proofErr w:type="spellStart"/>
      <w:r w:rsidRPr="00CB2BB6">
        <w:rPr>
          <w:rFonts w:ascii="Times New Roman" w:hAnsi="Times New Roman" w:cs="Times New Roman"/>
          <w:sz w:val="32"/>
          <w:szCs w:val="32"/>
        </w:rPr>
        <w:t>Swetter</w:t>
      </w:r>
      <w:proofErr w:type="spellEnd"/>
      <w:r w:rsidRPr="00CB2BB6">
        <w:rPr>
          <w:rFonts w:ascii="Times New Roman" w:hAnsi="Times New Roman" w:cs="Times New Roman"/>
          <w:sz w:val="32"/>
          <w:szCs w:val="32"/>
        </w:rPr>
        <w:t>, S. M., Blau, H. M., &amp; Thrun, S. (2017). Dermatologist-level classification of skin cancer with deep neural networks. Nature, 542(7639), 115–118. https://doi.org/10.1038/nature21056</w:t>
      </w:r>
    </w:p>
    <w:p w14:paraId="48F07F9B" w14:textId="77777777" w:rsidR="00F755B3" w:rsidRPr="00CB2BB6" w:rsidRDefault="00000000">
      <w:pPr>
        <w:spacing w:before="60" w:after="60" w:line="360" w:lineRule="auto"/>
        <w:ind w:left="720" w:hanging="720"/>
        <w:jc w:val="both"/>
        <w:rPr>
          <w:rFonts w:ascii="Times New Roman" w:hAnsi="Times New Roman" w:cs="Times New Roman"/>
          <w:sz w:val="32"/>
          <w:szCs w:val="32"/>
        </w:rPr>
      </w:pPr>
      <w:r w:rsidRPr="00CB2BB6">
        <w:rPr>
          <w:rFonts w:ascii="Times New Roman" w:hAnsi="Times New Roman" w:cs="Times New Roman"/>
          <w:sz w:val="32"/>
          <w:szCs w:val="32"/>
        </w:rPr>
        <w:t>[3</w:t>
      </w:r>
      <w:proofErr w:type="gramStart"/>
      <w:r w:rsidRPr="00CB2BB6">
        <w:rPr>
          <w:rFonts w:ascii="Times New Roman" w:hAnsi="Times New Roman" w:cs="Times New Roman"/>
          <w:sz w:val="32"/>
          <w:szCs w:val="32"/>
        </w:rPr>
        <w:t>]  Jumper</w:t>
      </w:r>
      <w:proofErr w:type="gramEnd"/>
      <w:r w:rsidRPr="00CB2BB6">
        <w:rPr>
          <w:rFonts w:ascii="Times New Roman" w:hAnsi="Times New Roman" w:cs="Times New Roman"/>
          <w:sz w:val="32"/>
          <w:szCs w:val="32"/>
        </w:rPr>
        <w:t>, J., Evans, R., Pritzel, A., Green, T., Figurnov, M., Ronneberger, O., &amp; Hassabis, D. (2021). Highly accurate protein structure prediction with AlphaFold. Nature, 596(7873), 583–589. https://doi.org/10.1038/s41586-021-03819-2</w:t>
      </w:r>
    </w:p>
    <w:p w14:paraId="4D5C28C3" w14:textId="77777777" w:rsidR="00F755B3" w:rsidRPr="00CB2BB6" w:rsidRDefault="00000000">
      <w:pPr>
        <w:spacing w:before="60" w:after="60" w:line="360" w:lineRule="auto"/>
        <w:ind w:left="720" w:hanging="720"/>
        <w:jc w:val="both"/>
        <w:rPr>
          <w:rFonts w:ascii="Times New Roman" w:hAnsi="Times New Roman" w:cs="Times New Roman"/>
          <w:sz w:val="32"/>
          <w:szCs w:val="32"/>
        </w:rPr>
      </w:pPr>
      <w:r w:rsidRPr="00CB2BB6">
        <w:rPr>
          <w:rFonts w:ascii="Times New Roman" w:hAnsi="Times New Roman" w:cs="Times New Roman"/>
          <w:sz w:val="32"/>
          <w:szCs w:val="32"/>
        </w:rPr>
        <w:t>[4</w:t>
      </w:r>
      <w:proofErr w:type="gramStart"/>
      <w:r w:rsidRPr="00CB2BB6">
        <w:rPr>
          <w:rFonts w:ascii="Times New Roman" w:hAnsi="Times New Roman" w:cs="Times New Roman"/>
          <w:sz w:val="32"/>
          <w:szCs w:val="32"/>
        </w:rPr>
        <w:t>]  NITI</w:t>
      </w:r>
      <w:proofErr w:type="gramEnd"/>
      <w:r w:rsidRPr="00CB2BB6">
        <w:rPr>
          <w:rFonts w:ascii="Times New Roman" w:hAnsi="Times New Roman" w:cs="Times New Roman"/>
          <w:sz w:val="32"/>
          <w:szCs w:val="32"/>
        </w:rPr>
        <w:t xml:space="preserve"> Aayog. (2018). National Strategy for Artificial Intelligence #AIforAll. Government of India. https://niti.gov.in/national-strategy-artificial-intelligence</w:t>
      </w:r>
    </w:p>
    <w:p w14:paraId="6394974E" w14:textId="77777777" w:rsidR="00F755B3" w:rsidRPr="00CB2BB6" w:rsidRDefault="00000000">
      <w:pPr>
        <w:spacing w:before="60" w:after="60" w:line="360" w:lineRule="auto"/>
        <w:ind w:left="720" w:hanging="720"/>
        <w:jc w:val="both"/>
        <w:rPr>
          <w:rFonts w:ascii="Times New Roman" w:hAnsi="Times New Roman" w:cs="Times New Roman"/>
          <w:sz w:val="32"/>
          <w:szCs w:val="32"/>
        </w:rPr>
      </w:pPr>
      <w:r w:rsidRPr="00CB2BB6">
        <w:rPr>
          <w:rFonts w:ascii="Times New Roman" w:hAnsi="Times New Roman" w:cs="Times New Roman"/>
          <w:sz w:val="32"/>
          <w:szCs w:val="32"/>
        </w:rPr>
        <w:t>[5</w:t>
      </w:r>
      <w:proofErr w:type="gramStart"/>
      <w:r w:rsidRPr="00CB2BB6">
        <w:rPr>
          <w:rFonts w:ascii="Times New Roman" w:hAnsi="Times New Roman" w:cs="Times New Roman"/>
          <w:sz w:val="32"/>
          <w:szCs w:val="32"/>
        </w:rPr>
        <w:t>]  Russell</w:t>
      </w:r>
      <w:proofErr w:type="gramEnd"/>
      <w:r w:rsidRPr="00CB2BB6">
        <w:rPr>
          <w:rFonts w:ascii="Times New Roman" w:hAnsi="Times New Roman" w:cs="Times New Roman"/>
          <w:sz w:val="32"/>
          <w:szCs w:val="32"/>
        </w:rPr>
        <w:t>, S., &amp; Norvig, P. (2020). Artificial Intelligence: A Modern Approach (4th ed.). Pearson Education.</w:t>
      </w:r>
    </w:p>
    <w:sectPr w:rsidR="00F755B3" w:rsidRPr="00CB2BB6">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B4795" w14:textId="77777777" w:rsidR="00EF218E" w:rsidRDefault="00EF218E" w:rsidP="00CB2BB6">
      <w:r>
        <w:separator/>
      </w:r>
    </w:p>
  </w:endnote>
  <w:endnote w:type="continuationSeparator" w:id="0">
    <w:p w14:paraId="30DBA4C8" w14:textId="77777777" w:rsidR="00EF218E" w:rsidRDefault="00EF218E" w:rsidP="00CB2B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tillium Web">
    <w:charset w:val="00"/>
    <w:family w:val="auto"/>
    <w:pitch w:val="variable"/>
    <w:sig w:usb0="00000007" w:usb1="00000001"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6E19D" w14:textId="6C1D411B" w:rsidR="00CB2BB6" w:rsidRDefault="00CB2BB6">
    <w:pPr>
      <w:pStyle w:val="Footer"/>
    </w:pPr>
    <w:r>
      <w:t>Bhuvan Kumar H P</w:t>
    </w:r>
  </w:p>
  <w:p w14:paraId="70440921" w14:textId="5AF56AE0" w:rsidR="00CB2BB6" w:rsidRDefault="00CB2BB6">
    <w:pPr>
      <w:pStyle w:val="Footer"/>
    </w:pPr>
    <w:r>
      <w:t>4YG25AI011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63EB5" w14:textId="77777777" w:rsidR="00EF218E" w:rsidRDefault="00EF218E" w:rsidP="00CB2BB6">
      <w:r>
        <w:separator/>
      </w:r>
    </w:p>
  </w:footnote>
  <w:footnote w:type="continuationSeparator" w:id="0">
    <w:p w14:paraId="23735418" w14:textId="77777777" w:rsidR="00EF218E" w:rsidRDefault="00EF218E" w:rsidP="00CB2B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628B0"/>
    <w:multiLevelType w:val="hybridMultilevel"/>
    <w:tmpl w:val="77AA3DEE"/>
    <w:lvl w:ilvl="0" w:tplc="56B489D2">
      <w:start w:val="1"/>
      <w:numFmt w:val="bullet"/>
      <w:lvlText w:val="●"/>
      <w:lvlJc w:val="left"/>
      <w:pPr>
        <w:ind w:left="720" w:hanging="360"/>
      </w:pPr>
    </w:lvl>
    <w:lvl w:ilvl="1" w:tplc="C98699E6">
      <w:start w:val="1"/>
      <w:numFmt w:val="bullet"/>
      <w:lvlText w:val="○"/>
      <w:lvlJc w:val="left"/>
      <w:pPr>
        <w:ind w:left="1440" w:hanging="360"/>
      </w:pPr>
    </w:lvl>
    <w:lvl w:ilvl="2" w:tplc="A0685DE6">
      <w:start w:val="1"/>
      <w:numFmt w:val="bullet"/>
      <w:lvlText w:val="■"/>
      <w:lvlJc w:val="left"/>
      <w:pPr>
        <w:ind w:left="2160" w:hanging="360"/>
      </w:pPr>
    </w:lvl>
    <w:lvl w:ilvl="3" w:tplc="D4F2F626">
      <w:start w:val="1"/>
      <w:numFmt w:val="bullet"/>
      <w:lvlText w:val="●"/>
      <w:lvlJc w:val="left"/>
      <w:pPr>
        <w:ind w:left="2880" w:hanging="360"/>
      </w:pPr>
    </w:lvl>
    <w:lvl w:ilvl="4" w:tplc="CBFE4F86">
      <w:start w:val="1"/>
      <w:numFmt w:val="bullet"/>
      <w:lvlText w:val="○"/>
      <w:lvlJc w:val="left"/>
      <w:pPr>
        <w:ind w:left="3600" w:hanging="360"/>
      </w:pPr>
    </w:lvl>
    <w:lvl w:ilvl="5" w:tplc="15C8DB5E">
      <w:start w:val="1"/>
      <w:numFmt w:val="bullet"/>
      <w:lvlText w:val="■"/>
      <w:lvlJc w:val="left"/>
      <w:pPr>
        <w:ind w:left="4320" w:hanging="360"/>
      </w:pPr>
    </w:lvl>
    <w:lvl w:ilvl="6" w:tplc="38C434A8">
      <w:start w:val="1"/>
      <w:numFmt w:val="bullet"/>
      <w:lvlText w:val="●"/>
      <w:lvlJc w:val="left"/>
      <w:pPr>
        <w:ind w:left="5040" w:hanging="360"/>
      </w:pPr>
    </w:lvl>
    <w:lvl w:ilvl="7" w:tplc="7E46BB48">
      <w:start w:val="1"/>
      <w:numFmt w:val="bullet"/>
      <w:lvlText w:val="●"/>
      <w:lvlJc w:val="left"/>
      <w:pPr>
        <w:ind w:left="5760" w:hanging="360"/>
      </w:pPr>
    </w:lvl>
    <w:lvl w:ilvl="8" w:tplc="706E86EC">
      <w:start w:val="1"/>
      <w:numFmt w:val="bullet"/>
      <w:lvlText w:val="●"/>
      <w:lvlJc w:val="left"/>
      <w:pPr>
        <w:ind w:left="6480" w:hanging="360"/>
      </w:pPr>
    </w:lvl>
  </w:abstractNum>
  <w:num w:numId="1" w16cid:durableId="1702633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5B3"/>
    <w:rsid w:val="00136FC8"/>
    <w:rsid w:val="002648D3"/>
    <w:rsid w:val="00445080"/>
    <w:rsid w:val="00B81B11"/>
    <w:rsid w:val="00CB2BB6"/>
    <w:rsid w:val="00EF218E"/>
    <w:rsid w:val="00F755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CBD27"/>
  <w15:docId w15:val="{B0AF52A1-0981-4CB6-9B2B-187C97E36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200" w:after="8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B2BB6"/>
    <w:pPr>
      <w:tabs>
        <w:tab w:val="center" w:pos="4513"/>
        <w:tab w:val="right" w:pos="9026"/>
      </w:tabs>
    </w:pPr>
  </w:style>
  <w:style w:type="character" w:customStyle="1" w:styleId="HeaderChar">
    <w:name w:val="Header Char"/>
    <w:basedOn w:val="DefaultParagraphFont"/>
    <w:link w:val="Header"/>
    <w:uiPriority w:val="99"/>
    <w:rsid w:val="00CB2BB6"/>
  </w:style>
  <w:style w:type="paragraph" w:styleId="Footer">
    <w:name w:val="footer"/>
    <w:basedOn w:val="Normal"/>
    <w:link w:val="FooterChar"/>
    <w:uiPriority w:val="99"/>
    <w:unhideWhenUsed/>
    <w:rsid w:val="00CB2BB6"/>
    <w:pPr>
      <w:tabs>
        <w:tab w:val="center" w:pos="4513"/>
        <w:tab w:val="right" w:pos="9026"/>
      </w:tabs>
    </w:pPr>
  </w:style>
  <w:style w:type="character" w:customStyle="1" w:styleId="FooterChar">
    <w:name w:val="Footer Char"/>
    <w:basedOn w:val="DefaultParagraphFont"/>
    <w:link w:val="Footer"/>
    <w:uiPriority w:val="99"/>
    <w:rsid w:val="00CB2B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B5C88-EEB1-4E77-8A60-ADB542D19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11</Pages>
  <Words>1935</Words>
  <Characters>11032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Bhuvan Kumar HP</cp:lastModifiedBy>
  <cp:revision>2</cp:revision>
  <dcterms:created xsi:type="dcterms:W3CDTF">2026-05-31T10:58:00Z</dcterms:created>
  <dcterms:modified xsi:type="dcterms:W3CDTF">2026-05-31T13:13:00Z</dcterms:modified>
</cp:coreProperties>
</file>