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b/>
          <w:sz w:val="22"/>
        </w:rPr>
        <w:t>Bhuvin Gowda</w:t>
      </w:r>
      <w:r>
        <w:br/>
        <w:t>Independent Researcher | Fremont, California, USA</w:t>
      </w:r>
      <w:r>
        <w:br/>
        <w:t>Email: bhuvingowda@gmail.com | Phone: +1-612-756-6014</w:t>
      </w:r>
    </w:p>
    <w:p>
      <w:pPr>
        <w:spacing w:after="100" w:line="240" w:lineRule="auto"/>
        <w:jc w:val="left"/>
      </w:pPr>
      <w:r>
        <w:t>September 6, 2026</w:t>
      </w:r>
    </w:p>
    <w:p>
      <w:pPr>
        <w:spacing w:after="100"/>
      </w:pPr>
      <w:r>
        <w:rPr>
          <w:b/>
        </w:rPr>
        <w:t>Editorial Office</w:t>
      </w:r>
      <w:r>
        <w:br/>
        <w:t>Cluster Computing, Springer Nature</w:t>
      </w:r>
    </w:p>
    <w:p>
      <w:pPr>
        <w:spacing w:after="120"/>
      </w:pPr>
      <w:r>
        <w:rPr>
          <w:b/>
        </w:rPr>
        <w:t xml:space="preserve">Re: Submission of Original Paper — </w:t>
      </w:r>
      <w:r>
        <w:t>“Beyond Idempotency: End-to-End Exactly-Once Effects and Ambiguity Recovery for LLM Agent Tool Execution in Distributed Systems”</w:t>
      </w:r>
    </w:p>
    <w:p>
      <w:pPr>
        <w:spacing w:after="100" w:line="240" w:lineRule="auto"/>
        <w:jc w:val="left"/>
      </w:pPr>
      <w:r>
        <w:t>Dear Editor,</w:t>
      </w:r>
    </w:p>
    <w:p>
      <w:pPr>
        <w:spacing w:after="80" w:line="240" w:lineRule="auto"/>
        <w:jc w:val="both"/>
      </w:pPr>
      <w:r>
        <w:t>I am pleased to submit the manuscript entitled “Beyond Idempotency: End-to-End Exactly-Once Effects and Ambiguity Recovery for LLM Agent Tool Execution in Distributed Systems” for consideration as an Original Paper in Cluster Computing.</w:t>
      </w:r>
    </w:p>
    <w:p>
      <w:pPr>
        <w:spacing w:after="80" w:line="240" w:lineRule="auto"/>
        <w:jc w:val="both"/>
      </w:pPr>
      <w:r>
        <w:t>The manuscript addresses reliability failures that arise when LLM-based agents invoke side-effecting tools and distributed services under retries, timeouts, response loss, crashes, and concurrent duplicate requests. It separates duplicate-effect prevention from ambiguity recovery and evaluates where protection should be placed across the agent, gateway, orchestrator, and downstream-service layers.</w:t>
      </w:r>
    </w:p>
    <w:p>
      <w:pPr>
        <w:spacing w:after="80" w:line="240" w:lineRule="auto"/>
        <w:jc w:val="both"/>
      </w:pPr>
      <w:r>
        <w:t>The study evaluates six execution variants across 3,340 experiments representing 33.4 million logical operations. Durable deduplication eliminates observed duplicate effects in key failure scenarios, while end-to-end reconciliation adds a distinct recovery property when downstream effects commit but their outcomes become ambiguous. Under duplicate and retry pressure, protected variants also keep downstream effect amplification near one even as agent-side retry amplification grows.</w:t>
      </w:r>
    </w:p>
    <w:p>
      <w:pPr>
        <w:spacing w:after="80" w:line="240" w:lineRule="auto"/>
        <w:jc w:val="both"/>
      </w:pPr>
      <w:r>
        <w:t>I believe the manuscript fits Cluster Computing because its core contribution concerns fault-tolerant distributed execution, service orchestration, concurrency, reliability semantics, and recovery in multi-service systems. Although LLM agents motivate the workload, the mechanisms and findings are fundamentally distributed-systems and cloud-service reliability contributions.</w:t>
      </w:r>
    </w:p>
    <w:p>
      <w:pPr>
        <w:spacing w:after="80" w:line="240" w:lineRule="auto"/>
        <w:jc w:val="both"/>
      </w:pPr>
      <w:r>
        <w:t>The experimental artifacts were independently audited for metric consistency, state-transition correctness, ownership safety, and observer independence. The implementation and supporting code are available at https://github.com/bhuvingowda89/paper-agentic-concurrency-model.</w:t>
      </w:r>
    </w:p>
    <w:p>
      <w:pPr>
        <w:spacing w:after="80" w:line="240" w:lineRule="auto"/>
        <w:jc w:val="both"/>
      </w:pPr>
      <w:r>
        <w:t>There was no external funding for this work, and I have no competing interests to declare. Thank you for considering the manuscript for publication in Cluster Computing.</w:t>
      </w:r>
    </w:p>
    <w:p>
      <w:pPr>
        <w:spacing w:after="40" w:line="240" w:lineRule="auto"/>
        <w:jc w:val="left"/>
      </w:pPr>
      <w:r>
        <w:t>Sincerely,</w:t>
      </w:r>
    </w:p>
    <w:p>
      <w:pPr>
        <w:spacing w:after="0"/>
      </w:pPr>
      <w:r>
        <w:rPr>
          <w:b/>
        </w:rPr>
        <w:t>Bhuvin Gowda</w:t>
      </w:r>
      <w:r>
        <w:br/>
        <w:t>Independent Researcher | bhuvingowda@gmail.com | +1-612-756-6014</w:t>
      </w:r>
    </w:p>
    <w:sectPr w:rsidR="00FC693F" w:rsidRPr="0006063C" w:rsidSect="00034616">
      <w:pgSz w:w="12240" w:h="15840"/>
      <w:pgMar w:top="792" w:right="1152" w:bottom="79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