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8"/>
        </w:rPr>
        <w:t>StartupHub — Positioning Gaps</w:t>
      </w:r>
    </w:p>
    <w:p>
      <w:r>
        <w:rPr>
          <w:i/>
          <w:color w:val="475569"/>
          <w:sz w:val="20"/>
        </w:rPr>
        <w:t>13 things nobody in this market does well   |   Ranked by severity and by how confidently no competitor covers them</w:t>
      </w:r>
    </w:p>
    <w:p>
      <w:pPr>
        <w:pBdr>
          <w:bottom w:val="single" w:sz="8" w:space="1" w:color="0F766E"/>
        </w:pBdr>
      </w:pPr>
    </w:p>
    <w:tbl>
      <w:tblPr>
        <w:tblW w:type="auto" w:w="0"/>
        <w:jc w:val="center"/>
        <w:tblLook w:firstColumn="1" w:firstRow="1" w:lastColumn="0" w:lastRow="0" w:noHBand="0" w:noVBand="1" w:val="04A0"/>
      </w:tblPr>
      <w:tblGrid>
        <w:gridCol w:w="10086"/>
      </w:tblGrid>
      <w:tr>
        <w:tc>
          <w:tcPr>
            <w:tcW w:type="dxa" w:w="10086"/>
            <w:shd w:val="clear" w:fill="DBEAFE"/>
          </w:tcPr>
          <w:p>
            <w:pPr>
              <w:spacing w:after="40"/>
            </w:pPr>
            <w:r/>
            <w:r>
              <w:rPr>
                <w:b/>
                <w:color w:val="1E3A5F"/>
                <w:sz w:val="20"/>
              </w:rPr>
              <w:t>The structural finding: every mandated Indian system is a periodic compliance ledger keyed on events and snapshots. Not one is a system of record keyed on a venture through time. The gap is not a missing feature inside an existing product — it is a CATEGORY ERROR in how Indian innovation policy was digitised.</w:t>
            </w:r>
          </w:p>
        </w:tc>
      </w:tr>
    </w:tbl>
    <w:p>
      <w:pPr>
        <w:spacing w:after="40"/>
      </w:pPr>
    </w:p>
    <w:p>
      <w:pPr>
        <w:jc w:val="center"/>
      </w:pPr>
      <w:r>
        <w:drawing>
          <wp:inline xmlns:a="http://schemas.openxmlformats.org/drawingml/2006/main" xmlns:pic="http://schemas.openxmlformats.org/drawingml/2006/picture">
            <wp:extent cx="6120000" cy="2754627"/>
            <wp:docPr id="1" name="Picture 1"/>
            <wp:cNvGraphicFramePr>
              <a:graphicFrameLocks noChangeAspect="1"/>
            </wp:cNvGraphicFramePr>
            <a:graphic>
              <a:graphicData uri="http://schemas.openxmlformats.org/drawingml/2006/picture">
                <pic:pic>
                  <pic:nvPicPr>
                    <pic:cNvPr id="0" name="07_positioning_gaps.png"/>
                    <pic:cNvPicPr/>
                  </pic:nvPicPr>
                  <pic:blipFill>
                    <a:blip r:embed="rId9"/>
                    <a:stretch>
                      <a:fillRect/>
                    </a:stretch>
                  </pic:blipFill>
                  <pic:spPr>
                    <a:xfrm>
                      <a:off x="0" y="0"/>
                      <a:ext cx="6120000" cy="2754627"/>
                    </a:xfrm>
                    <a:prstGeom prst="rect"/>
                  </pic:spPr>
                </pic:pic>
              </a:graphicData>
            </a:graphic>
          </wp:inline>
        </w:drawing>
      </w:r>
    </w:p>
    <w:p>
      <w:pPr>
        <w:spacing w:after="200"/>
        <w:jc w:val="center"/>
      </w:pPr>
      <w:r>
        <w:rPr>
          <w:b w:val="0"/>
          <w:i/>
          <w:color w:val="475569"/>
          <w:sz w:val="17"/>
        </w:rPr>
        <w:t>Coverage by the 11 direct vendors</w:t>
      </w:r>
    </w:p>
    <w:p>
      <w:r>
        <w:br w:type="page"/>
      </w:r>
    </w:p>
    <w:p>
      <w:pPr>
        <w:spacing w:before="280" w:after="120"/>
        <w:pBdr>
          <w:bottom w:val="single" w:sz="12" w:space="2" w:color="0F766E"/>
        </w:pBdr>
      </w:pPr>
      <w:r>
        <w:rPr>
          <w:b/>
          <w:color w:val="1E3A5F"/>
          <w:sz w:val="30"/>
        </w:rPr>
        <w:t>GAP-01 — IPR / patent portfolio management</w:t>
      </w:r>
    </w:p>
    <w:p>
      <w:pPr>
        <w:spacing w:after="120"/>
      </w:pPr>
      <w:r>
        <w:rPr>
          <w:b/>
          <w:i w:val="0"/>
          <w:color w:val="B91C1C"/>
          <w:sz w:val="20"/>
        </w:rPr>
        <w:t>Severity: CRITICAL   ·   Covered by 0 of 11 direct vendors</w:t>
      </w:r>
    </w:p>
    <w:p>
      <w:pPr>
        <w:spacing w:before="200" w:after="60"/>
      </w:pPr>
      <w:r>
        <w:rPr>
          <w:b/>
          <w:color w:val="1E3A5F"/>
          <w:sz w:val="23"/>
        </w:rPr>
        <w:t>The evidence</w:t>
      </w:r>
    </w:p>
    <w:p>
      <w:pPr>
        <w:spacing w:after="120"/>
      </w:pPr>
      <w:r>
        <w:rPr>
          <w:b w:val="0"/>
          <w:i w:val="0"/>
          <w:sz w:val="19"/>
        </w:rPr>
        <w:t>IIC portal registers an 'IPR/TTO Centre' by existence and floor area with no field to record a patent (GOV-022). NIRF demands 'Patents Commercialized &amp; Technology Transferred' and 'Income from Technology Transferred' (GOV-028). ARIIA demands 'Patent Application No' and 'Year of Patent Application' (GOV-032). HEI patent filings +119% in two years (GOV-007). MeitY mandates IP due diligence (GOV-038). IIT Madras filed 431 patents in one year (COMP-027). Zero of 11 competitors have an IPR module.</w:t>
      </w:r>
    </w:p>
    <w:p>
      <w:pPr>
        <w:spacing w:before="200" w:after="60"/>
      </w:pPr>
      <w:r>
        <w:rPr>
          <w:b/>
          <w:color w:val="1E3A5F"/>
          <w:sz w:val="23"/>
        </w:rPr>
        <w:t>What the gap actually is</w:t>
      </w:r>
    </w:p>
    <w:p>
      <w:pPr>
        <w:spacing w:after="120"/>
      </w:pPr>
      <w:r>
        <w:rPr>
          <w:b w:val="0"/>
          <w:i w:val="0"/>
          <w:sz w:val="19"/>
        </w:rPr>
        <w:t>invention disclosure -&gt; prior-art search -&gt; drafting handoff -&gt; filing status and deadline tracking (Indian + international) -&gt; prosecution -&gt; grant -&gt; annuity -&gt; technology transfer/licensing with royalty tracking -&gt; revenue share to the Section-8/SPV entity -&gt; co-ownership splits between institute, faculty and startup</w:t>
      </w:r>
    </w:p>
    <w:p>
      <w:pPr>
        <w:spacing w:before="200" w:after="60"/>
      </w:pPr>
      <w:r>
        <w:rPr>
          <w:b/>
          <w:color w:val="1E3A5F"/>
          <w:sz w:val="23"/>
        </w:rPr>
        <w:t>Why India makes this unavoidable</w:t>
      </w:r>
    </w:p>
    <w:p>
      <w:pPr>
        <w:spacing w:after="120"/>
      </w:pPr>
      <w:r>
        <w:rPr>
          <w:b w:val="0"/>
          <w:i w:val="0"/>
          <w:sz w:val="19"/>
        </w:rPr>
        <w:t>ARIIA fields mandated; 3,249 registered TTO offices; IIC IPR Cells; MeitY diligence; NIDHI-PRAYAS institutional NOC requirement; HEI filings +119% in two years</w:t>
      </w:r>
    </w:p>
    <w:p>
      <w:pPr>
        <w:spacing w:before="200" w:after="60"/>
      </w:pPr>
      <w:r>
        <w:rPr>
          <w:b/>
          <w:color w:val="1E3A5F"/>
          <w:sz w:val="23"/>
        </w:rPr>
        <w:t>Nearest competitor</w:t>
      </w:r>
    </w:p>
    <w:p>
      <w:pPr>
        <w:spacing w:after="120"/>
      </w:pPr>
      <w:r>
        <w:rPr>
          <w:b w:val="0"/>
          <w:i/>
          <w:sz w:val="19"/>
        </w:rPr>
        <w:t>Questel, Iptizen, Dor-Kluster (IP docketing for Western law firms); Incu Sweden (a patent data field, not a workflow)</w:t>
      </w:r>
    </w:p>
    <w:tbl>
      <w:tblPr>
        <w:tblW w:type="auto" w:w="0"/>
        <w:jc w:val="center"/>
        <w:tblLook w:firstColumn="1" w:firstRow="1" w:lastColumn="0" w:lastRow="0" w:noHBand="0" w:noVBand="1" w:val="04A0"/>
      </w:tblPr>
      <w:tblGrid>
        <w:gridCol w:w="10086"/>
      </w:tblGrid>
      <w:tr>
        <w:tc>
          <w:tcPr>
            <w:tcW w:type="dxa" w:w="10086"/>
            <w:shd w:val="clear" w:fill="FEE2E2"/>
          </w:tcPr>
          <w:p>
            <w:pPr>
              <w:spacing w:after="40"/>
            </w:pPr>
            <w:r/>
            <w:r>
              <w:rPr>
                <w:b/>
                <w:color w:val="B91C1C"/>
                <w:sz w:val="20"/>
              </w:rPr>
              <w:t>NOBODY HAS JOINED IP DOCKETING TO INCUBATION PROGRAMME MANAGEMENT</w:t>
            </w:r>
          </w:p>
        </w:tc>
      </w:tr>
    </w:tbl>
    <w:p>
      <w:pPr>
        <w:spacing w:after="40"/>
      </w:pPr>
    </w:p>
    <w:p>
      <w:r>
        <w:br w:type="page"/>
      </w:r>
    </w:p>
    <w:p>
      <w:pPr>
        <w:spacing w:before="280" w:after="120"/>
        <w:pBdr>
          <w:bottom w:val="single" w:sz="12" w:space="2" w:color="0F766E"/>
        </w:pBdr>
      </w:pPr>
      <w:r>
        <w:rPr>
          <w:b/>
          <w:color w:val="1E3A5F"/>
          <w:sz w:val="30"/>
        </w:rPr>
        <w:t>GAP-02 — TRL as a first-class, reportable object</w:t>
      </w:r>
    </w:p>
    <w:p>
      <w:pPr>
        <w:spacing w:after="120"/>
      </w:pPr>
      <w:r>
        <w:rPr>
          <w:b/>
          <w:i w:val="0"/>
          <w:color w:val="B91C1C"/>
          <w:sz w:val="20"/>
        </w:rPr>
        <w:t>Severity: CRITICAL   ·   Covered by 0 of 11 direct vendors</w:t>
      </w:r>
    </w:p>
    <w:p>
      <w:pPr>
        <w:spacing w:before="200" w:after="60"/>
      </w:pPr>
      <w:r>
        <w:rPr>
          <w:b/>
          <w:color w:val="1E3A5F"/>
          <w:sz w:val="23"/>
        </w:rPr>
        <w:t>The evidence</w:t>
      </w:r>
    </w:p>
    <w:p>
      <w:pPr>
        <w:spacing w:after="120"/>
      </w:pPr>
      <w:r>
        <w:rPr>
          <w:b w:val="0"/>
          <w:i w:val="0"/>
          <w:sz w:val="19"/>
        </w:rPr>
        <w:t>YUKTI-NIR bands submissions Idea/PoC (TRL 1-4), Innovation/Prototype (TRL 5-9), Business/Startup and routes to different national programmes (GOV-023). ARIIA asks for 'Stage of Innovation (TRL Stage)' (GOV-032). MeitY uses TRL as the investment-readiness benchmark (GOV-038). TIDE 2.0, NIDHI and BIRAC tranches tied to TRL progression. IncubatX claims 240+ schemes but matches on sector/stage/team, NOT TRL (COMP-005).</w:t>
      </w:r>
    </w:p>
    <w:p>
      <w:pPr>
        <w:spacing w:before="200" w:after="60"/>
      </w:pPr>
      <w:r>
        <w:rPr>
          <w:b/>
          <w:color w:val="1E3A5F"/>
          <w:sz w:val="23"/>
        </w:rPr>
        <w:t>What the gap actually is</w:t>
      </w:r>
    </w:p>
    <w:p>
      <w:pPr>
        <w:spacing w:after="120"/>
      </w:pPr>
      <w:r>
        <w:rPr>
          <w:b w:val="0"/>
          <w:i w:val="0"/>
          <w:sz w:val="19"/>
        </w:rPr>
        <w:t>auto-suggest TRL from submission evidence; track progression 1-&gt;9 over time; map current TRL to ELIGIBLE funding schemes (BIRAC BIG at higher TRL, NIDHI-PRAYAS at lower, MeitY TIDE for deep tech, DST for prototype); export YUKTI-NIR-ready and ARIIA-ready records automatically</w:t>
      </w:r>
    </w:p>
    <w:p>
      <w:pPr>
        <w:spacing w:before="200" w:after="60"/>
      </w:pPr>
      <w:r>
        <w:rPr>
          <w:b/>
          <w:color w:val="1E3A5F"/>
          <w:sz w:val="23"/>
        </w:rPr>
        <w:t>Why India makes this unavoidable</w:t>
      </w:r>
    </w:p>
    <w:p>
      <w:pPr>
        <w:spacing w:after="120"/>
      </w:pPr>
      <w:r>
        <w:rPr>
          <w:b w:val="0"/>
          <w:i w:val="0"/>
          <w:sz w:val="19"/>
        </w:rPr>
        <w:t>Three separate government requirements make TRL non-optional</w:t>
      </w:r>
    </w:p>
    <w:p>
      <w:pPr>
        <w:spacing w:before="200" w:after="60"/>
      </w:pPr>
      <w:r>
        <w:rPr>
          <w:b/>
          <w:color w:val="1E3A5F"/>
          <w:sz w:val="23"/>
        </w:rPr>
        <w:t>Nearest competitor</w:t>
      </w:r>
    </w:p>
    <w:p>
      <w:pPr>
        <w:spacing w:after="120"/>
      </w:pPr>
      <w:r>
        <w:rPr>
          <w:b w:val="0"/>
          <w:i/>
          <w:sz w:val="19"/>
        </w:rPr>
        <w:t>Incu (Sweden) - maturity levels, but no funding-scheme mapping</w:t>
      </w:r>
    </w:p>
    <w:tbl>
      <w:tblPr>
        <w:tblW w:type="auto" w:w="0"/>
        <w:jc w:val="center"/>
        <w:tblLook w:firstColumn="1" w:firstRow="1" w:lastColumn="0" w:lastRow="0" w:noHBand="0" w:noVBand="1" w:val="04A0"/>
      </w:tblPr>
      <w:tblGrid>
        <w:gridCol w:w="10086"/>
      </w:tblGrid>
      <w:tr>
        <w:tc>
          <w:tcPr>
            <w:tcW w:type="dxa" w:w="10086"/>
            <w:shd w:val="clear" w:fill="FEE2E2"/>
          </w:tcPr>
          <w:p>
            <w:pPr>
              <w:spacing w:after="40"/>
            </w:pPr>
            <w:r/>
            <w:r>
              <w:rPr>
                <w:b/>
                <w:color w:val="B91C1C"/>
                <w:sz w:val="20"/>
              </w:rPr>
              <w:t>EVERY PLATFORM TRACKS 'STAGE' AS FREE TEXT. NOBODY MODELS TRL.</w:t>
            </w:r>
          </w:p>
        </w:tc>
      </w:tr>
    </w:tbl>
    <w:p>
      <w:pPr>
        <w:spacing w:after="40"/>
      </w:pPr>
    </w:p>
    <w:p>
      <w:r>
        <w:br w:type="page"/>
      </w:r>
    </w:p>
    <w:p>
      <w:pPr>
        <w:spacing w:before="280" w:after="120"/>
        <w:pBdr>
          <w:bottom w:val="single" w:sz="12" w:space="2" w:color="0F766E"/>
        </w:pBdr>
      </w:pPr>
      <w:r>
        <w:rPr>
          <w:b/>
          <w:color w:val="1E3A5F"/>
          <w:sz w:val="30"/>
        </w:rPr>
        <w:t>GAP-03 — YUKTI-NIR / IIC / ARIIA submission and verification workflow</w:t>
      </w:r>
    </w:p>
    <w:p>
      <w:pPr>
        <w:spacing w:after="120"/>
      </w:pPr>
      <w:r>
        <w:rPr>
          <w:b/>
          <w:i w:val="0"/>
          <w:color w:val="B91C1C"/>
          <w:sz w:val="20"/>
        </w:rPr>
        <w:t>Severity: CRITICAL   ·   Covered by 0 of 11 direct vendors</w:t>
      </w:r>
    </w:p>
    <w:p>
      <w:pPr>
        <w:spacing w:before="200" w:after="60"/>
      </w:pPr>
      <w:r>
        <w:rPr>
          <w:b/>
          <w:color w:val="1E3A5F"/>
          <w:sz w:val="23"/>
        </w:rPr>
        <w:t>The evidence</w:t>
      </w:r>
    </w:p>
    <w:p>
      <w:pPr>
        <w:spacing w:after="120"/>
      </w:pPr>
      <w:r>
        <w:rPr>
          <w:b w:val="0"/>
          <w:i w:val="0"/>
          <w:sz w:val="19"/>
        </w:rPr>
        <w:t>IIC has 17 menus and no venture-entity module (GOV-018). 'IIC login credentials and the YUKTI login credentials are different' (GOV-025). YUKTI-NIR has an HEI-side 'Add Verifier' workflow with Recommended/Not-Recommended status gating YIC eligibility (GOV-023). Verified innovations auto-pool into ARIIA Section 4 ranking (GOV-024). NIRF has ~11 screens PER DISCIPLINE (GOV-028). No public API anywhere in the stack (GOV-043).</w:t>
      </w:r>
    </w:p>
    <w:p>
      <w:pPr>
        <w:spacing w:before="200" w:after="60"/>
      </w:pPr>
      <w:r>
        <w:rPr>
          <w:b/>
          <w:color w:val="1E3A5F"/>
          <w:sz w:val="23"/>
        </w:rPr>
        <w:t>What the gap actually is</w:t>
      </w:r>
    </w:p>
    <w:p>
      <w:pPr>
        <w:spacing w:after="120"/>
      </w:pPr>
      <w:r>
        <w:rPr>
          <w:b w:val="0"/>
          <w:i w:val="0"/>
          <w:sz w:val="19"/>
        </w:rPr>
        <w:t>one-click, schema-mapped export to YUKTI-NIR across all three categories; live ARIIA Section 4 tracker; IIC activity calendar and scoring model; Innovation Ambassador training register - all sourced from the same startup record</w:t>
      </w:r>
    </w:p>
    <w:p>
      <w:pPr>
        <w:spacing w:before="200" w:after="60"/>
      </w:pPr>
      <w:r>
        <w:rPr>
          <w:b/>
          <w:color w:val="1E3A5F"/>
          <w:sz w:val="23"/>
        </w:rPr>
        <w:t>Why India makes this unavoidable</w:t>
      </w:r>
    </w:p>
    <w:p>
      <w:pPr>
        <w:spacing w:after="120"/>
      </w:pPr>
      <w:r>
        <w:rPr>
          <w:b w:val="0"/>
          <w:i w:val="0"/>
          <w:sz w:val="19"/>
        </w:rPr>
        <w:t>Government mandate, and verified YUKTI-NIR entries improve the institution's ARIIA ranking - a budget line that already exists</w:t>
      </w:r>
    </w:p>
    <w:p>
      <w:pPr>
        <w:spacing w:before="200" w:after="60"/>
      </w:pPr>
      <w:r>
        <w:rPr>
          <w:b/>
          <w:color w:val="1E3A5F"/>
          <w:sz w:val="23"/>
        </w:rPr>
        <w:t>Nearest competitor</w:t>
      </w:r>
    </w:p>
    <w:p>
      <w:pPr>
        <w:spacing w:after="120"/>
      </w:pPr>
      <w:r>
        <w:rPr>
          <w:b w:val="0"/>
          <w:i/>
          <w:sz w:val="19"/>
        </w:rPr>
        <w:t>None. Zero of eleven.</w:t>
      </w:r>
    </w:p>
    <w:tbl>
      <w:tblPr>
        <w:tblW w:type="auto" w:w="0"/>
        <w:jc w:val="center"/>
        <w:tblLook w:firstColumn="1" w:firstRow="1" w:lastColumn="0" w:lastRow="0" w:noHBand="0" w:noVBand="1" w:val="04A0"/>
      </w:tblPr>
      <w:tblGrid>
        <w:gridCol w:w="10086"/>
      </w:tblGrid>
      <w:tr>
        <w:tc>
          <w:tcPr>
            <w:tcW w:type="dxa" w:w="10086"/>
            <w:shd w:val="clear" w:fill="FEE2E2"/>
          </w:tcPr>
          <w:p>
            <w:pPr>
              <w:spacing w:after="40"/>
            </w:pPr>
            <w:r/>
            <w:r>
              <w:rPr>
                <w:b/>
                <w:color w:val="B91C1C"/>
                <w:sz w:val="20"/>
              </w:rPr>
              <w:t>HIGHEST-VALUE, MOST-DEFENSIBLE FEATURE IN THE CATEGORY - AND COMPLETELY OPEN</w:t>
            </w:r>
          </w:p>
        </w:tc>
      </w:tr>
    </w:tbl>
    <w:p>
      <w:pPr>
        <w:spacing w:after="40"/>
      </w:pPr>
    </w:p>
    <w:p>
      <w:r>
        <w:br w:type="page"/>
      </w:r>
    </w:p>
    <w:p>
      <w:pPr>
        <w:spacing w:before="280" w:after="120"/>
        <w:pBdr>
          <w:bottom w:val="single" w:sz="12" w:space="2" w:color="0F766E"/>
        </w:pBdr>
      </w:pPr>
      <w:r>
        <w:rPr>
          <w:b/>
          <w:color w:val="1E3A5F"/>
          <w:sz w:val="30"/>
        </w:rPr>
        <w:t>GAP-04 — Unified mandate-spanning reporting</w:t>
      </w:r>
    </w:p>
    <w:p>
      <w:pPr>
        <w:spacing w:after="120"/>
      </w:pPr>
      <w:r>
        <w:rPr>
          <w:b/>
          <w:i w:val="0"/>
          <w:color w:val="B45309"/>
          <w:sz w:val="20"/>
        </w:rPr>
        <w:t>Severity: HIGH   ·   Covered by 0 of 11 direct vendors</w:t>
      </w:r>
    </w:p>
    <w:p>
      <w:pPr>
        <w:spacing w:before="200" w:after="60"/>
      </w:pPr>
      <w:r>
        <w:rPr>
          <w:b/>
          <w:color w:val="1E3A5F"/>
          <w:sz w:val="23"/>
        </w:rPr>
        <w:t>The evidence</w:t>
      </w:r>
    </w:p>
    <w:p>
      <w:pPr>
        <w:spacing w:after="120"/>
      </w:pPr>
      <w:r>
        <w:rPr>
          <w:b w:val="0"/>
          <w:i w:val="0"/>
          <w:sz w:val="19"/>
        </w:rPr>
        <w:t>One institution must file to ARIIA, NIRF Innovation, IIC/MoE, AICTE/NBA/NAAC, DST/NIDHI/BIRAC/TIDE grant utilisation, CSR Schedule VII, AIC/Atal, Governing Body packs and DPIIT recognition. Gohorto: 'Universities don't just run isolated programs; they manage a complex ecosystem that includes Incubator -&gt; Accelerator -&gt; Hackathon -&gt; Entrepreneurship courses -&gt; Grant programs -&gt; Industry partnerships. Each of these areas has different teams, budgets, and timelines.' Platforms report ONE frame. ERPs report COMPLIANCE.</w:t>
      </w:r>
    </w:p>
    <w:p>
      <w:pPr>
        <w:spacing w:before="200" w:after="60"/>
      </w:pPr>
      <w:r>
        <w:rPr>
          <w:b/>
          <w:color w:val="1E3A5F"/>
          <w:sz w:val="23"/>
        </w:rPr>
        <w:t>What the gap actually is</w:t>
      </w:r>
    </w:p>
    <w:p>
      <w:pPr>
        <w:spacing w:after="120"/>
      </w:pPr>
      <w:r>
        <w:rPr>
          <w:b w:val="0"/>
          <w:i w:val="0"/>
          <w:sz w:val="19"/>
        </w:rPr>
        <w:t>a single KPI frame across all mandate spans on one screen, with evidence trails</w:t>
      </w:r>
    </w:p>
    <w:p>
      <w:pPr>
        <w:spacing w:before="200" w:after="60"/>
      </w:pPr>
      <w:r>
        <w:rPr>
          <w:b/>
          <w:color w:val="1E3A5F"/>
          <w:sz w:val="23"/>
        </w:rPr>
        <w:t>Why India makes this unavoidable</w:t>
      </w:r>
    </w:p>
    <w:p>
      <w:pPr>
        <w:spacing w:after="120"/>
      </w:pPr>
      <w:r>
        <w:rPr>
          <w:b w:val="0"/>
          <w:i w:val="0"/>
          <w:sz w:val="19"/>
        </w:rPr>
        <w:t>India has 69,233 separate compliances and 6,618 independent filings under ~1,500 Acts (COMP-028)</w:t>
      </w:r>
    </w:p>
    <w:p>
      <w:pPr>
        <w:spacing w:before="200" w:after="60"/>
      </w:pPr>
      <w:r>
        <w:rPr>
          <w:b/>
          <w:color w:val="1E3A5F"/>
          <w:sz w:val="23"/>
        </w:rPr>
        <w:t>Nearest competitor</w:t>
      </w:r>
    </w:p>
    <w:p>
      <w:pPr>
        <w:spacing w:after="120"/>
      </w:pPr>
      <w:r>
        <w:rPr>
          <w:b w:val="0"/>
          <w:i/>
          <w:sz w:val="19"/>
        </w:rPr>
        <w:t>Accubate (Enterprise multi-site) is closest on structure</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NOBODY REPORTS THE WHOLE INSTITUTIONAL INNOVATION PORTFOLIO AT ONCE</w:t>
            </w:r>
          </w:p>
        </w:tc>
      </w:tr>
    </w:tbl>
    <w:p>
      <w:pPr>
        <w:spacing w:after="40"/>
      </w:pPr>
    </w:p>
    <w:p>
      <w:r>
        <w:br w:type="page"/>
      </w:r>
    </w:p>
    <w:p>
      <w:pPr>
        <w:spacing w:before="280" w:after="120"/>
        <w:pBdr>
          <w:bottom w:val="single" w:sz="12" w:space="2" w:color="0F766E"/>
        </w:pBdr>
      </w:pPr>
      <w:r>
        <w:rPr>
          <w:b/>
          <w:color w:val="1E3A5F"/>
          <w:sz w:val="30"/>
        </w:rPr>
        <w:t>GAP-05 — Government-grant disbursement ledger traced to a receipt</w:t>
      </w:r>
    </w:p>
    <w:p>
      <w:pPr>
        <w:spacing w:after="120"/>
      </w:pPr>
      <w:r>
        <w:rPr>
          <w:b/>
          <w:i w:val="0"/>
          <w:color w:val="B45309"/>
          <w:sz w:val="20"/>
        </w:rPr>
        <w:t>Severity: HIGH   ·   Covered by 2 of 11 direct vendors</w:t>
      </w:r>
    </w:p>
    <w:p>
      <w:pPr>
        <w:spacing w:before="200" w:after="60"/>
      </w:pPr>
      <w:r>
        <w:rPr>
          <w:b/>
          <w:color w:val="1E3A5F"/>
          <w:sz w:val="23"/>
        </w:rPr>
        <w:t>The evidence</w:t>
      </w:r>
    </w:p>
    <w:p>
      <w:pPr>
        <w:spacing w:after="120"/>
      </w:pPr>
      <w:r>
        <w:rPr>
          <w:b w:val="0"/>
          <w:i w:val="0"/>
          <w:sz w:val="19"/>
        </w:rPr>
        <w:t>EcoSync has source-&gt;programme-&gt;tranche with over-allocation blocked at entry (COMP-003). Orbit has NIDHI/DST-TBI/BIRAC/RKVY ledgers (COMP-002). AcceleratorApp has tranches and capital calls (COMP-007). But MeitY mandates utilisation 'aligns with what was approved' (GOV-038); BIRAC carries a 5% royalty on net sales until cumulative repayment; DST penalises 'inability to meet targets'; unspent balance reversion is a real audit failure.</w:t>
      </w:r>
    </w:p>
    <w:p>
      <w:pPr>
        <w:spacing w:before="200" w:after="60"/>
      </w:pPr>
      <w:r>
        <w:rPr>
          <w:b/>
          <w:color w:val="1E3A5F"/>
          <w:sz w:val="23"/>
        </w:rPr>
        <w:t>What the gap actually is</w:t>
      </w:r>
    </w:p>
    <w:p>
      <w:pPr>
        <w:spacing w:after="120"/>
      </w:pPr>
      <w:r>
        <w:rPr>
          <w:b w:val="0"/>
          <w:i w:val="0"/>
          <w:sz w:val="19"/>
        </w:rPr>
        <w:t>utilisation tracking against the approved investment plan; royalty/revenue-share obligations; disbursement conditioned on milestone achievement with evidence; unspent/lapsed balance reversion; simultaneous tracking of multiple pots (central + state + CSR + university corpus) with different rules</w:t>
      </w:r>
    </w:p>
    <w:p>
      <w:pPr>
        <w:spacing w:before="200" w:after="60"/>
      </w:pPr>
      <w:r>
        <w:rPr>
          <w:b/>
          <w:color w:val="1E3A5F"/>
          <w:sz w:val="23"/>
        </w:rPr>
        <w:t>Why India makes this unavoidable</w:t>
      </w:r>
    </w:p>
    <w:p>
      <w:pPr>
        <w:spacing w:after="120"/>
      </w:pPr>
      <w:r>
        <w:rPr>
          <w:b w:val="0"/>
          <w:i w:val="0"/>
          <w:sz w:val="19"/>
        </w:rPr>
        <w:t>Every major scheme requires an institution or incubator to track money, milestones and outcomes</w:t>
      </w:r>
    </w:p>
    <w:p>
      <w:pPr>
        <w:spacing w:before="200" w:after="60"/>
      </w:pPr>
      <w:r>
        <w:rPr>
          <w:b/>
          <w:color w:val="1E3A5F"/>
          <w:sz w:val="23"/>
        </w:rPr>
        <w:t>Nearest competitor</w:t>
      </w:r>
    </w:p>
    <w:p>
      <w:pPr>
        <w:spacing w:after="120"/>
      </w:pPr>
      <w:r>
        <w:rPr>
          <w:b w:val="0"/>
          <w:i/>
          <w:sz w:val="19"/>
        </w:rPr>
        <w:t>EcoSync and AcceleratorApp both have pieces</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COVER WITH SCHEME-MATCHING, NOT A GENERAL LEDGER</w:t>
            </w:r>
          </w:p>
        </w:tc>
      </w:tr>
    </w:tbl>
    <w:p>
      <w:pPr>
        <w:spacing w:after="40"/>
      </w:pPr>
    </w:p>
    <w:p>
      <w:r>
        <w:br w:type="page"/>
      </w:r>
    </w:p>
    <w:p>
      <w:pPr>
        <w:spacing w:before="280" w:after="120"/>
        <w:pBdr>
          <w:bottom w:val="single" w:sz="12" w:space="2" w:color="0F766E"/>
        </w:pBdr>
      </w:pPr>
      <w:r>
        <w:rPr>
          <w:b/>
          <w:color w:val="1E3A5F"/>
          <w:sz w:val="30"/>
        </w:rPr>
        <w:t>GAP-06 — Faculty, Innovation Ambassadors and the non-startup innovator</w:t>
      </w:r>
    </w:p>
    <w:p>
      <w:pPr>
        <w:spacing w:after="120"/>
      </w:pPr>
      <w:r>
        <w:rPr>
          <w:b/>
          <w:i w:val="0"/>
          <w:color w:val="B45309"/>
          <w:sz w:val="20"/>
        </w:rPr>
        <w:t>Severity: HIGH   ·   Covered by 0 of 11 direct vendors</w:t>
      </w:r>
    </w:p>
    <w:p>
      <w:pPr>
        <w:spacing w:before="200" w:after="60"/>
      </w:pPr>
      <w:r>
        <w:rPr>
          <w:b/>
          <w:color w:val="1E3A5F"/>
          <w:sz w:val="23"/>
        </w:rPr>
        <w:t>The evidence</w:t>
      </w:r>
    </w:p>
    <w:p>
      <w:pPr>
        <w:spacing w:after="120"/>
      </w:pPr>
      <w:r>
        <w:rPr>
          <w:b w:val="0"/>
          <w:i w:val="0"/>
          <w:sz w:val="19"/>
        </w:rPr>
        <w:t>MIC trained 60,000+ faculty as Innovation Ambassadors (GOV-007). Student Innovative Project programmes are projects, not companies. IPR Cell workloads cover faculty inventors. NIDHI-PRAYAS explicitly requires an institutional NOC from employed/full-time-student applicants (GOV-037). No platform has a first-class faculty/innovator entity - all eleven build from 'startup application'.</w:t>
      </w:r>
    </w:p>
    <w:p>
      <w:pPr>
        <w:spacing w:before="200" w:after="60"/>
      </w:pPr>
      <w:r>
        <w:rPr>
          <w:b/>
          <w:color w:val="1E3A5F"/>
          <w:sz w:val="23"/>
        </w:rPr>
        <w:t>What the gap actually is</w:t>
      </w:r>
    </w:p>
    <w:p>
      <w:pPr>
        <w:spacing w:after="120"/>
      </w:pPr>
      <w:r>
        <w:rPr>
          <w:b w:val="0"/>
          <w:i w:val="0"/>
          <w:sz w:val="19"/>
        </w:rPr>
        <w:t>a faculty profile that follows an invention from disclosure through to a licensed startup and royalty income</w:t>
      </w:r>
    </w:p>
    <w:p>
      <w:pPr>
        <w:spacing w:before="200" w:after="60"/>
      </w:pPr>
      <w:r>
        <w:rPr>
          <w:b/>
          <w:color w:val="1E3A5F"/>
          <w:sz w:val="23"/>
        </w:rPr>
        <w:t>Why India makes this unavoidable</w:t>
      </w:r>
    </w:p>
    <w:p>
      <w:pPr>
        <w:spacing w:after="120"/>
      </w:pPr>
      <w:r>
        <w:rPr>
          <w:b w:val="0"/>
          <w:i w:val="0"/>
          <w:sz w:val="19"/>
        </w:rPr>
        <w:t>Faculty are the SOURCE of everything downstream: inventions -&gt; disclosures -&gt; patents -&gt; licences -&gt; startups</w:t>
      </w:r>
    </w:p>
    <w:p>
      <w:pPr>
        <w:spacing w:before="200" w:after="60"/>
      </w:pPr>
      <w:r>
        <w:rPr>
          <w:b/>
          <w:color w:val="1E3A5F"/>
          <w:sz w:val="23"/>
        </w:rPr>
        <w:t>Nearest competitor</w:t>
      </w:r>
    </w:p>
    <w:p>
      <w:pPr>
        <w:spacing w:after="120"/>
      </w:pPr>
      <w:r>
        <w:rPr>
          <w:b w:val="0"/>
          <w:i/>
          <w:sz w:val="19"/>
        </w:rPr>
        <w:t>None</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COMPLETELY UNOCCUPIED, AND UPSTREAM OF THE WHOLE FUNNEL</w:t>
            </w:r>
          </w:p>
        </w:tc>
      </w:tr>
    </w:tbl>
    <w:p>
      <w:pPr>
        <w:spacing w:after="40"/>
      </w:pPr>
    </w:p>
    <w:p>
      <w:r>
        <w:br w:type="page"/>
      </w:r>
    </w:p>
    <w:p>
      <w:pPr>
        <w:spacing w:before="280" w:after="120"/>
        <w:pBdr>
          <w:bottom w:val="single" w:sz="12" w:space="2" w:color="0F766E"/>
        </w:pBdr>
      </w:pPr>
      <w:r>
        <w:rPr>
          <w:b/>
          <w:color w:val="1E3A5F"/>
          <w:sz w:val="30"/>
        </w:rPr>
        <w:t>GAP-07 — Mentor logistics at scale - NDA-tiered visibility</w:t>
      </w:r>
    </w:p>
    <w:p>
      <w:pPr>
        <w:spacing w:after="120"/>
      </w:pPr>
      <w:r>
        <w:rPr>
          <w:b/>
          <w:i w:val="0"/>
          <w:color w:val="B45309"/>
          <w:sz w:val="20"/>
        </w:rPr>
        <w:t>Severity: HIGH   ·   Covered by 0 of 11 direct vendors</w:t>
      </w:r>
    </w:p>
    <w:p>
      <w:pPr>
        <w:spacing w:before="200" w:after="60"/>
      </w:pPr>
      <w:r>
        <w:rPr>
          <w:b/>
          <w:color w:val="1E3A5F"/>
          <w:sz w:val="23"/>
        </w:rPr>
        <w:t>The evidence</w:t>
      </w:r>
    </w:p>
    <w:p>
      <w:pPr>
        <w:spacing w:after="120"/>
      </w:pPr>
      <w:r>
        <w:rPr>
          <w:b w:val="0"/>
          <w:i w:val="0"/>
          <w:sz w:val="19"/>
        </w:rPr>
        <w:t>Mentorship is universally a directory plus calendar. In a university/IIC context mentors are external and require conflict-of-interest declaration, NDA and IP non-disclosure before seeing pre-incubation ideas; must log hours against scheme utilisation rules; must sign a confidentiality agreement - exactly what AICTE's YUKTI-NIR NDA templates address ('PATENT / INVENTION NON-DISCLOSURE AGREEMENT'); subject to conflict checks against their own IP holdings.</w:t>
      </w:r>
    </w:p>
    <w:p>
      <w:pPr>
        <w:spacing w:before="200" w:after="60"/>
      </w:pPr>
      <w:r>
        <w:rPr>
          <w:b/>
          <w:color w:val="1E3A5F"/>
          <w:sz w:val="23"/>
        </w:rPr>
        <w:t>What the gap actually is</w:t>
      </w:r>
    </w:p>
    <w:p>
      <w:pPr>
        <w:spacing w:after="120"/>
      </w:pPr>
      <w:r>
        <w:rPr>
          <w:b w:val="0"/>
          <w:i w:val="0"/>
          <w:sz w:val="19"/>
        </w:rPr>
        <w:t>separate 'public mentor' from 'confidential expert under NDA' visibility tiers; log mentorship as a fundable scheme cost</w:t>
      </w:r>
    </w:p>
    <w:p>
      <w:pPr>
        <w:spacing w:before="200" w:after="60"/>
      </w:pPr>
      <w:r>
        <w:rPr>
          <w:b/>
          <w:color w:val="1E3A5F"/>
          <w:sz w:val="23"/>
        </w:rPr>
        <w:t>Why India makes this unavoidable</w:t>
      </w:r>
    </w:p>
    <w:p>
      <w:pPr>
        <w:spacing w:after="120"/>
      </w:pPr>
      <w:r>
        <w:rPr>
          <w:b w:val="0"/>
          <w:i w:val="0"/>
          <w:sz w:val="19"/>
        </w:rPr>
        <w:t>A SINGLE NDA LEAKAGE COULD VOID AN IPR CLAIM</w:t>
      </w:r>
    </w:p>
    <w:p>
      <w:pPr>
        <w:spacing w:before="200" w:after="60"/>
      </w:pPr>
      <w:r>
        <w:rPr>
          <w:b/>
          <w:color w:val="1E3A5F"/>
          <w:sz w:val="23"/>
        </w:rPr>
        <w:t>Nearest competitor</w:t>
      </w:r>
    </w:p>
    <w:p>
      <w:pPr>
        <w:spacing w:after="120"/>
      </w:pPr>
      <w:r>
        <w:rPr>
          <w:b w:val="0"/>
          <w:i/>
          <w:sz w:val="19"/>
        </w:rPr>
        <w:t>incuTrack sells Mentor Matching as a $30/mo add-on; RiserNest has overload visibility. Neither has visibility tiers.</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A REAL INSTITUTIONAL FEAR THAT NOBODY HAS SOLVED</w:t>
            </w:r>
          </w:p>
        </w:tc>
      </w:tr>
    </w:tbl>
    <w:p>
      <w:pPr>
        <w:spacing w:after="40"/>
      </w:pPr>
    </w:p>
    <w:p>
      <w:r>
        <w:br w:type="page"/>
      </w:r>
    </w:p>
    <w:p>
      <w:pPr>
        <w:spacing w:before="280" w:after="120"/>
        <w:pBdr>
          <w:bottom w:val="single" w:sz="12" w:space="2" w:color="0F766E"/>
        </w:pBdr>
      </w:pPr>
      <w:r>
        <w:rPr>
          <w:b/>
          <w:color w:val="1E3A5F"/>
          <w:sz w:val="30"/>
        </w:rPr>
        <w:t>GAP-08 — AI that is auditable instead of just advertised</w:t>
      </w:r>
    </w:p>
    <w:p>
      <w:pPr>
        <w:spacing w:after="120"/>
      </w:pPr>
      <w:r>
        <w:rPr>
          <w:b/>
          <w:i w:val="0"/>
          <w:color w:val="1E3A5F"/>
          <w:sz w:val="20"/>
        </w:rPr>
        <w:t>Severity: MEDIUM   ·   Covered by 0 of 11 direct vendors</w:t>
      </w:r>
    </w:p>
    <w:p>
      <w:pPr>
        <w:spacing w:before="200" w:after="60"/>
      </w:pPr>
      <w:r>
        <w:rPr>
          <w:b/>
          <w:color w:val="1E3A5F"/>
          <w:sz w:val="23"/>
        </w:rPr>
        <w:t>The evidence</w:t>
      </w:r>
    </w:p>
    <w:p>
      <w:pPr>
        <w:spacing w:after="120"/>
      </w:pPr>
      <w:r>
        <w:rPr>
          <w:b w:val="0"/>
          <w:i w:val="0"/>
          <w:sz w:val="19"/>
        </w:rPr>
        <w:t>IncubatX: 'AI-Enabled Intelligence OS' with demo data on its live dashboard (COMP-005). Gohorto: '85% faster application processing' on 3 reviews, one vendor-referred (COMP-009). AcceleratorApp: a page literally titled 'LLM Info'. Accubate scored 2/5 on AI by a competitor. EcoSync, Incubatee, Founderhood, VentureLink, incuTrack, RiserNest: no AI at all. EcoSync's counter-position: 'Two evaluators scoring out of ten with no shared rubric produce numbers that look comparable and are not.' (COMP-003)</w:t>
      </w:r>
    </w:p>
    <w:p>
      <w:pPr>
        <w:spacing w:before="200" w:after="60"/>
      </w:pPr>
      <w:r>
        <w:rPr>
          <w:b/>
          <w:color w:val="1E3A5F"/>
          <w:sz w:val="23"/>
        </w:rPr>
        <w:t>What the gap actually is</w:t>
      </w:r>
    </w:p>
    <w:p>
      <w:pPr>
        <w:spacing w:after="120"/>
      </w:pPr>
      <w:r>
        <w:rPr>
          <w:b w:val="0"/>
          <w:i w:val="0"/>
          <w:sz w:val="19"/>
        </w:rPr>
        <w:t>an AI copilot that drafts reports with cell-level provenance, flags reviewer drift, and shows why each score moved</w:t>
      </w:r>
    </w:p>
    <w:p>
      <w:pPr>
        <w:spacing w:before="200" w:after="60"/>
      </w:pPr>
      <w:r>
        <w:rPr>
          <w:b/>
          <w:color w:val="1E3A5F"/>
          <w:sz w:val="23"/>
        </w:rPr>
        <w:t>Why India makes this unavoidable</w:t>
      </w:r>
    </w:p>
    <w:p>
      <w:pPr>
        <w:spacing w:after="120"/>
      </w:pPr>
      <w:r>
        <w:rPr>
          <w:b w:val="0"/>
          <w:i w:val="0"/>
          <w:sz w:val="19"/>
        </w:rPr>
        <w:t>For Indian institutions, AI that cannot produce a citation trail is WORSE than no AI - it destroys the audit defensibility that panel evaluation exists to provide</w:t>
      </w:r>
    </w:p>
    <w:p>
      <w:pPr>
        <w:spacing w:before="200" w:after="60"/>
      </w:pPr>
      <w:r>
        <w:rPr>
          <w:b/>
          <w:color w:val="1E3A5F"/>
          <w:sz w:val="23"/>
        </w:rPr>
        <w:t>Nearest competitor</w:t>
      </w:r>
    </w:p>
    <w:p>
      <w:pPr>
        <w:spacing w:after="120"/>
      </w:pPr>
      <w:r>
        <w:rPr>
          <w:b w:val="0"/>
          <w:i/>
          <w:sz w:val="19"/>
        </w:rPr>
        <w:t>Orbit's Sarvam-powered Indian-language MOM transcription is the one genuinely novel India-specific AI feature found</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NOTHING IN THE CATEGORY OFFERS DEFENSIBLE AI</w:t>
            </w:r>
          </w:p>
        </w:tc>
      </w:tr>
    </w:tbl>
    <w:p>
      <w:pPr>
        <w:spacing w:after="40"/>
      </w:pPr>
    </w:p>
    <w:p>
      <w:r>
        <w:br w:type="page"/>
      </w:r>
    </w:p>
    <w:p>
      <w:pPr>
        <w:spacing w:before="280" w:after="120"/>
        <w:pBdr>
          <w:bottom w:val="single" w:sz="12" w:space="2" w:color="0F766E"/>
        </w:pBdr>
      </w:pPr>
      <w:r>
        <w:rPr>
          <w:b/>
          <w:color w:val="1E3A5F"/>
          <w:sz w:val="30"/>
        </w:rPr>
        <w:t>GAP-09 — Unincorporated pre-incubation state</w:t>
      </w:r>
    </w:p>
    <w:p>
      <w:pPr>
        <w:spacing w:after="120"/>
      </w:pPr>
      <w:r>
        <w:rPr>
          <w:b/>
          <w:i w:val="0"/>
          <w:color w:val="1E3A5F"/>
          <w:sz w:val="20"/>
        </w:rPr>
        <w:t>Severity: MEDIUM   ·   Covered by 0 of 11 direct vendors</w:t>
      </w:r>
    </w:p>
    <w:p>
      <w:pPr>
        <w:spacing w:before="200" w:after="60"/>
      </w:pPr>
      <w:r>
        <w:rPr>
          <w:b/>
          <w:color w:val="1E3A5F"/>
          <w:sz w:val="23"/>
        </w:rPr>
        <w:t>The evidence</w:t>
      </w:r>
    </w:p>
    <w:p>
      <w:pPr>
        <w:spacing w:after="120"/>
      </w:pPr>
      <w:r>
        <w:rPr>
          <w:b w:val="0"/>
          <w:i w:val="0"/>
          <w:sz w:val="19"/>
        </w:rPr>
        <w:t>Every platform assumes a registered entity. But in a university most of the funnel is BEFORE incorporation - a student idea, a final-year project, a faculty research idea, a hackathon winner, a Smart India Hackathon team (SIH: 1,39,844 teams registered, 1,520 winners - GOV-007).</w:t>
      </w:r>
    </w:p>
    <w:p>
      <w:pPr>
        <w:spacing w:before="200" w:after="60"/>
      </w:pPr>
      <w:r>
        <w:rPr>
          <w:b/>
          <w:color w:val="1E3A5F"/>
          <w:sz w:val="23"/>
        </w:rPr>
        <w:t>What the gap actually is</w:t>
      </w:r>
    </w:p>
    <w:p>
      <w:pPr>
        <w:spacing w:after="120"/>
      </w:pPr>
      <w:r>
        <w:rPr>
          <w:b w:val="0"/>
          <w:i w:val="0"/>
          <w:sz w:val="19"/>
        </w:rPr>
        <w:t>distinct pre-incubation entity model; incorporation readiness workflow (DPIIT recognition, GST, PAN, bank account, Shops and Establishments, Udyam); faculty-student IP split agreement; joint-incubation agreement; co-incubation MoU</w:t>
      </w:r>
    </w:p>
    <w:p>
      <w:pPr>
        <w:spacing w:before="200" w:after="60"/>
      </w:pPr>
      <w:r>
        <w:rPr>
          <w:b/>
          <w:color w:val="1E3A5F"/>
          <w:sz w:val="23"/>
        </w:rPr>
        <w:t>Why India makes this unavoidable</w:t>
      </w:r>
    </w:p>
    <w:p>
      <w:pPr>
        <w:spacing w:after="120"/>
      </w:pPr>
      <w:r>
        <w:rPr>
          <w:b w:val="0"/>
          <w:i w:val="0"/>
          <w:sz w:val="19"/>
        </w:rPr>
        <w:t>DPIIT recognition, GST and Udyam gate access to every scheme; university tech-transfer IP splits are contentious and must be documented</w:t>
      </w:r>
    </w:p>
    <w:p>
      <w:pPr>
        <w:spacing w:before="200" w:after="60"/>
      </w:pPr>
      <w:r>
        <w:rPr>
          <w:b/>
          <w:color w:val="1E3A5F"/>
          <w:sz w:val="23"/>
        </w:rPr>
        <w:t>Nearest competitor</w:t>
      </w:r>
    </w:p>
    <w:p>
      <w:pPr>
        <w:spacing w:after="120"/>
      </w:pPr>
      <w:r>
        <w:rPr>
          <w:b w:val="0"/>
          <w:i/>
          <w:sz w:val="19"/>
        </w:rPr>
        <w:t>Incubatee mentions 'Sign incubation agreements' as a single line item on its pricing table</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THE BIGGEST STRUCTURAL HOLE IN EVERY PLATFORM</w:t>
            </w:r>
          </w:p>
        </w:tc>
      </w:tr>
    </w:tbl>
    <w:p>
      <w:pPr>
        <w:spacing w:after="40"/>
      </w:pPr>
    </w:p>
    <w:p>
      <w:r>
        <w:br w:type="page"/>
      </w:r>
    </w:p>
    <w:p>
      <w:pPr>
        <w:spacing w:before="280" w:after="120"/>
        <w:pBdr>
          <w:bottom w:val="single" w:sz="12" w:space="2" w:color="0F766E"/>
        </w:pBdr>
      </w:pPr>
      <w:r>
        <w:rPr>
          <w:b/>
          <w:color w:val="1E3A5F"/>
          <w:sz w:val="30"/>
        </w:rPr>
        <w:t>GAP-10 — Guaranteed migration off forms/spreadsheets/WhatsApp</w:t>
      </w:r>
    </w:p>
    <w:p>
      <w:pPr>
        <w:spacing w:after="120"/>
      </w:pPr>
      <w:r>
        <w:rPr>
          <w:b/>
          <w:i w:val="0"/>
          <w:color w:val="1E3A5F"/>
          <w:sz w:val="20"/>
        </w:rPr>
        <w:t>Severity: MEDIUM   ·   Covered by 1 of 11 direct vendors</w:t>
      </w:r>
    </w:p>
    <w:p>
      <w:pPr>
        <w:spacing w:before="200" w:after="60"/>
      </w:pPr>
      <w:r>
        <w:rPr>
          <w:b/>
          <w:color w:val="1E3A5F"/>
          <w:sz w:val="23"/>
        </w:rPr>
        <w:t>The evidence</w:t>
      </w:r>
    </w:p>
    <w:p>
      <w:pPr>
        <w:spacing w:after="120"/>
      </w:pPr>
      <w:r>
        <w:rPr>
          <w:b w:val="0"/>
          <w:i w:val="0"/>
          <w:sz w:val="19"/>
        </w:rPr>
        <w:t>Every incumbent runs open Q and A forms and reference-based application numbers. IISc's own IIC page links students to a WhatsApp group (COMP-024). In Indian incubators the WhatsApp group IS the operational database. Incu (Sweden) is the only vendor stating it will import existing data during onboarding. Migrating is manual, unpaid work the BUYER must do.</w:t>
      </w:r>
    </w:p>
    <w:p>
      <w:pPr>
        <w:spacing w:before="200" w:after="60"/>
      </w:pPr>
      <w:r>
        <w:rPr>
          <w:b/>
          <w:color w:val="1E3A5F"/>
          <w:sz w:val="23"/>
        </w:rPr>
        <w:t>What the gap actually is</w:t>
      </w:r>
    </w:p>
    <w:p>
      <w:pPr>
        <w:spacing w:after="120"/>
      </w:pPr>
      <w:r>
        <w:rPr>
          <w:b w:val="0"/>
          <w:i w:val="0"/>
          <w:sz w:val="19"/>
        </w:rPr>
        <w:t>guaranteed, free-or-subsidised migration including WhatsApp group -&gt; structured records</w:t>
      </w:r>
    </w:p>
    <w:p>
      <w:pPr>
        <w:spacing w:before="200" w:after="60"/>
      </w:pPr>
      <w:r>
        <w:rPr>
          <w:b/>
          <w:color w:val="1E3A5F"/>
          <w:sz w:val="23"/>
        </w:rPr>
        <w:t>Why India makes this unavoidable</w:t>
      </w:r>
    </w:p>
    <w:p>
      <w:pPr>
        <w:spacing w:after="120"/>
      </w:pPr>
      <w:r>
        <w:rPr>
          <w:b w:val="0"/>
          <w:i w:val="0"/>
          <w:sz w:val="19"/>
        </w:rPr>
        <w:t>It is the #1 real blocker to any sale in India</w:t>
      </w:r>
    </w:p>
    <w:p>
      <w:pPr>
        <w:spacing w:before="200" w:after="60"/>
      </w:pPr>
      <w:r>
        <w:rPr>
          <w:b/>
          <w:color w:val="1E3A5F"/>
          <w:sz w:val="23"/>
        </w:rPr>
        <w:t>Nearest competitor</w:t>
      </w:r>
    </w:p>
    <w:p>
      <w:pPr>
        <w:spacing w:after="120"/>
      </w:pPr>
      <w:r>
        <w:rPr>
          <w:b w:val="0"/>
          <w:i/>
          <w:sz w:val="19"/>
        </w:rPr>
        <w:t>Incu (Sweden) only, for generic Cases/Ideas/Persons</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DOING THIS REMOVES THE SINGLE BIGGEST OBJECTION IN AN INDIAN INSTITUTIONAL SALE</w:t>
            </w:r>
          </w:p>
        </w:tc>
      </w:tr>
    </w:tbl>
    <w:p>
      <w:pPr>
        <w:spacing w:after="40"/>
      </w:pPr>
    </w:p>
    <w:p>
      <w:r>
        <w:br w:type="page"/>
      </w:r>
    </w:p>
    <w:p>
      <w:pPr>
        <w:spacing w:before="280" w:after="120"/>
        <w:pBdr>
          <w:bottom w:val="single" w:sz="12" w:space="2" w:color="0F766E"/>
        </w:pBdr>
      </w:pPr>
      <w:r>
        <w:rPr>
          <w:b/>
          <w:color w:val="1E3A5F"/>
          <w:sz w:val="30"/>
        </w:rPr>
        <w:t>GAP-11 — Departments and multi-campus sub-tenancy</w:t>
      </w:r>
    </w:p>
    <w:p>
      <w:pPr>
        <w:spacing w:after="120"/>
      </w:pPr>
      <w:r>
        <w:rPr>
          <w:b/>
          <w:i w:val="0"/>
          <w:color w:val="1E3A5F"/>
          <w:sz w:val="20"/>
        </w:rPr>
        <w:t>Severity: MEDIUM   ·   Covered by 1 of 11 direct vendors</w:t>
      </w:r>
    </w:p>
    <w:p>
      <w:pPr>
        <w:spacing w:before="200" w:after="60"/>
      </w:pPr>
      <w:r>
        <w:rPr>
          <w:b/>
          <w:color w:val="1E3A5F"/>
          <w:sz w:val="23"/>
        </w:rPr>
        <w:t>The evidence</w:t>
      </w:r>
    </w:p>
    <w:p>
      <w:pPr>
        <w:spacing w:after="120"/>
      </w:pPr>
      <w:r>
        <w:rPr>
          <w:b w:val="0"/>
          <w:i w:val="0"/>
          <w:sz w:val="19"/>
        </w:rPr>
        <w:t>Institutions have multiple departments each with its own IIC coordinator, budget, mentor panel and internal politics, plus affiliated colleges, multiple campuses, and a Section-8/SPV that legally owns the IP while departments own the research. Accubate (Enterprise) has multi-site management - genuinely the closest. EcoSync: 'a pilot across two campuses... those are priced case by case' - an exception, not a feature. Everyone else is single-tenant.</w:t>
      </w:r>
    </w:p>
    <w:p>
      <w:pPr>
        <w:spacing w:before="200" w:after="60"/>
      </w:pPr>
      <w:r>
        <w:rPr>
          <w:b/>
          <w:color w:val="1E3A5F"/>
          <w:sz w:val="23"/>
        </w:rPr>
        <w:t>What the gap actually is</w:t>
      </w:r>
    </w:p>
    <w:p>
      <w:pPr>
        <w:spacing w:after="120"/>
      </w:pPr>
      <w:r>
        <w:rPr>
          <w:b w:val="0"/>
          <w:i w:val="0"/>
          <w:sz w:val="19"/>
        </w:rPr>
        <w:t>first-class sub-tenant-per-department architecture; consolidated institutional roll-up; departmental P&amp;L; per-coordinator permission scoping; SPV-vs-department IP ownership modelling</w:t>
      </w:r>
    </w:p>
    <w:p>
      <w:pPr>
        <w:spacing w:before="200" w:after="60"/>
      </w:pPr>
      <w:r>
        <w:rPr>
          <w:b/>
          <w:color w:val="1E3A5F"/>
          <w:sz w:val="23"/>
        </w:rPr>
        <w:t>Why India makes this unavoidable</w:t>
      </w:r>
    </w:p>
    <w:p>
      <w:pPr>
        <w:spacing w:after="120"/>
      </w:pPr>
      <w:r>
        <w:rPr>
          <w:b w:val="0"/>
          <w:i w:val="0"/>
          <w:sz w:val="19"/>
        </w:rPr>
        <w:t>Large institutions are exactly the highest-value accounts</w:t>
      </w:r>
    </w:p>
    <w:p>
      <w:pPr>
        <w:spacing w:before="200" w:after="60"/>
      </w:pPr>
      <w:r>
        <w:rPr>
          <w:b/>
          <w:color w:val="1E3A5F"/>
          <w:sz w:val="23"/>
        </w:rPr>
        <w:t>Nearest competitor</w:t>
      </w:r>
    </w:p>
    <w:p>
      <w:pPr>
        <w:spacing w:after="120"/>
      </w:pPr>
      <w:r>
        <w:rPr>
          <w:b w:val="0"/>
          <w:i/>
          <w:sz w:val="19"/>
        </w:rPr>
        <w:t>Accubate Enterprise</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STRUCTURAL, NOT A FEATURE</w:t>
            </w:r>
          </w:p>
        </w:tc>
      </w:tr>
    </w:tbl>
    <w:p>
      <w:pPr>
        <w:spacing w:after="40"/>
      </w:pPr>
    </w:p>
    <w:p>
      <w:r>
        <w:br w:type="page"/>
      </w:r>
    </w:p>
    <w:p>
      <w:pPr>
        <w:spacing w:before="280" w:after="120"/>
        <w:pBdr>
          <w:bottom w:val="single" w:sz="12" w:space="2" w:color="0F766E"/>
        </w:pBdr>
      </w:pPr>
      <w:r>
        <w:rPr>
          <w:b/>
          <w:color w:val="1E3A5F"/>
          <w:sz w:val="30"/>
        </w:rPr>
        <w:t>GAP-12 — Deployment model an Indian university can actually buy</w:t>
      </w:r>
    </w:p>
    <w:p>
      <w:pPr>
        <w:spacing w:after="120"/>
      </w:pPr>
      <w:r>
        <w:rPr>
          <w:b/>
          <w:i w:val="0"/>
          <w:color w:val="1E3A5F"/>
          <w:sz w:val="20"/>
        </w:rPr>
        <w:t>Severity: MEDIUM   ·   Covered by 2 of 11 direct vendors</w:t>
      </w:r>
    </w:p>
    <w:p>
      <w:pPr>
        <w:spacing w:before="200" w:after="60"/>
      </w:pPr>
      <w:r>
        <w:rPr>
          <w:b/>
          <w:color w:val="1E3A5F"/>
          <w:sz w:val="23"/>
        </w:rPr>
        <w:t>The evidence</w:t>
      </w:r>
    </w:p>
    <w:p>
      <w:pPr>
        <w:spacing w:after="120"/>
      </w:pPr>
      <w:r>
        <w:rPr>
          <w:b w:val="0"/>
          <w:i w:val="0"/>
          <w:sz w:val="19"/>
        </w:rPr>
        <w:t>Government IIC/TBI: Rs 0-1L/yr via GeM, must satisfy data-localisation norms. Private/deemed university IIC: Rs 1-3L/yr. University-wide: Rs 3-10L/yr. Today's market answers nothing below Rs 1.2L/yr (IncubatX Foundation), Rs 6.25L+ with implementation (Incubatee), or sales-gated nothing. Nobody packages on-premise/Indian data residency at an affordable price. Nobody prices for 'institution-sized free tier for founders, paid for institutions' - every major platform sells seats and penalises exactly the population an incubator has most of.</w:t>
      </w:r>
    </w:p>
    <w:p>
      <w:pPr>
        <w:spacing w:before="200" w:after="60"/>
      </w:pPr>
      <w:r>
        <w:rPr>
          <w:b/>
          <w:color w:val="1E3A5F"/>
          <w:sz w:val="23"/>
        </w:rPr>
        <w:t>What the gap actually is</w:t>
      </w:r>
    </w:p>
    <w:p>
      <w:pPr>
        <w:spacing w:after="120"/>
      </w:pPr>
      <w:r>
        <w:rPr>
          <w:b w:val="0"/>
          <w:i w:val="0"/>
          <w:sz w:val="19"/>
        </w:rPr>
        <w:t>on-premise / Indian data residency as a standard affordable option; no-per-seat institutional pricing; published procurement-ready India price list</w:t>
      </w:r>
    </w:p>
    <w:p>
      <w:pPr>
        <w:spacing w:before="200" w:after="60"/>
      </w:pPr>
      <w:r>
        <w:rPr>
          <w:b/>
          <w:color w:val="1E3A5F"/>
          <w:sz w:val="23"/>
        </w:rPr>
        <w:t>Why India makes this unavoidable</w:t>
      </w:r>
    </w:p>
    <w:p>
      <w:pPr>
        <w:spacing w:after="120"/>
      </w:pPr>
      <w:r>
        <w:rPr>
          <w:b w:val="0"/>
          <w:i w:val="0"/>
          <w:sz w:val="19"/>
        </w:rPr>
        <w:t>Only Incubatee, IncubatX and Orbit publish an India price list</w:t>
      </w:r>
    </w:p>
    <w:p>
      <w:pPr>
        <w:spacing w:before="200" w:after="60"/>
      </w:pPr>
      <w:r>
        <w:rPr>
          <w:b/>
          <w:color w:val="1E3A5F"/>
          <w:sz w:val="23"/>
        </w:rPr>
        <w:t>Nearest competitor</w:t>
      </w:r>
    </w:p>
    <w:p>
      <w:pPr>
        <w:spacing w:after="120"/>
      </w:pPr>
      <w:r>
        <w:rPr>
          <w:b w:val="0"/>
          <w:i/>
          <w:sz w:val="19"/>
        </w:rPr>
        <w:t>VentureLink ('no per-user fees') and Incubatee (mentors/startups unbilled) have the right shape</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A NEAR-UNIVERSAL PROCUREMENT REQUIREMENT THAT NOBODY PRICES</w:t>
            </w:r>
          </w:p>
        </w:tc>
      </w:tr>
    </w:tbl>
    <w:p>
      <w:pPr>
        <w:spacing w:after="40"/>
      </w:pPr>
    </w:p>
    <w:p>
      <w:r>
        <w:br w:type="page"/>
      </w:r>
    </w:p>
    <w:p>
      <w:pPr>
        <w:spacing w:before="280" w:after="120"/>
        <w:pBdr>
          <w:bottom w:val="single" w:sz="12" w:space="2" w:color="0F766E"/>
        </w:pBdr>
      </w:pPr>
      <w:r>
        <w:rPr>
          <w:b/>
          <w:color w:val="1E3A5F"/>
          <w:sz w:val="30"/>
        </w:rPr>
        <w:t>GAP-13 — A verifiable Indian reference institution</w:t>
      </w:r>
    </w:p>
    <w:p>
      <w:pPr>
        <w:spacing w:after="120"/>
      </w:pPr>
      <w:r>
        <w:rPr>
          <w:b/>
          <w:i w:val="0"/>
          <w:color w:val="1E3A5F"/>
          <w:sz w:val="20"/>
        </w:rPr>
        <w:t>Severity: MEDIUM   ·   Covered by 1 of 11 direct vendors</w:t>
      </w:r>
    </w:p>
    <w:p>
      <w:pPr>
        <w:spacing w:before="200" w:after="60"/>
      </w:pPr>
      <w:r>
        <w:rPr>
          <w:b/>
          <w:color w:val="1E3A5F"/>
          <w:sz w:val="23"/>
        </w:rPr>
        <w:t>The evidence</w:t>
      </w:r>
    </w:p>
    <w:p>
      <w:pPr>
        <w:spacing w:after="120"/>
      </w:pPr>
      <w:r>
        <w:rPr>
          <w:b w:val="0"/>
          <w:i w:val="0"/>
          <w:sz w:val="19"/>
        </w:rPr>
        <w:t>EcoSync, Orbit, Incubatee, IncubatX, RiserNest, VentureLink: ZERO third-party reviews. Gohorto: 3 reviews, one vendor-referred. Founderhood: 1 G2 + 2 Capterra. AcceleratorApp: none found. incuTrack: 10 G2 (3.8), recent ones calling it 'quite outdated'. Accubate: 26 Capterra (4.8) - the only real base, but no Indian institution is named among its marquee logos. AcceleratorApp has the best academic logos and ZERO Indian institutions.</w:t>
      </w:r>
    </w:p>
    <w:p>
      <w:pPr>
        <w:spacing w:before="200" w:after="60"/>
      </w:pPr>
      <w:r>
        <w:rPr>
          <w:b/>
          <w:color w:val="1E3A5F"/>
          <w:sz w:val="23"/>
        </w:rPr>
        <w:t>What the gap actually is</w:t>
      </w:r>
    </w:p>
    <w:p>
      <w:pPr>
        <w:spacing w:after="120"/>
      </w:pPr>
      <w:r>
        <w:rPr>
          <w:b w:val="0"/>
          <w:i w:val="0"/>
          <w:sz w:val="19"/>
        </w:rPr>
        <w:t>one published, verifiable Indian university case study with named referees</w:t>
      </w:r>
    </w:p>
    <w:p>
      <w:pPr>
        <w:spacing w:before="200" w:after="60"/>
      </w:pPr>
      <w:r>
        <w:rPr>
          <w:b/>
          <w:color w:val="1E3A5F"/>
          <w:sz w:val="23"/>
        </w:rPr>
        <w:t>Why India makes this unavoidable</w:t>
      </w:r>
    </w:p>
    <w:p>
      <w:pPr>
        <w:spacing w:after="120"/>
      </w:pPr>
      <w:r>
        <w:rPr>
          <w:b w:val="0"/>
          <w:i w:val="0"/>
          <w:sz w:val="19"/>
        </w:rPr>
        <w:t>No competitor can prove a large Indian institution runs on their software</w:t>
      </w:r>
    </w:p>
    <w:p>
      <w:pPr>
        <w:spacing w:before="200" w:after="60"/>
      </w:pPr>
      <w:r>
        <w:rPr>
          <w:b/>
          <w:color w:val="1E3A5F"/>
          <w:sz w:val="23"/>
        </w:rPr>
        <w:t>Nearest competitor</w:t>
      </w:r>
    </w:p>
    <w:p>
      <w:pPr>
        <w:spacing w:after="120"/>
      </w:pPr>
      <w:r>
        <w:rPr>
          <w:b w:val="0"/>
          <w:i/>
          <w:sz w:val="19"/>
        </w:rPr>
        <w:t>Accubate - 26 reviews but documentation-poor with a broken pricing page</w:t>
      </w:r>
    </w:p>
    <w:tbl>
      <w:tblPr>
        <w:tblW w:type="auto" w:w="0"/>
        <w:jc w:val="center"/>
        <w:tblLook w:firstColumn="1" w:firstRow="1" w:lastColumn="0" w:lastRow="0" w:noHBand="0" w:noVBand="1" w:val="04A0"/>
      </w:tblPr>
      <w:tblGrid>
        <w:gridCol w:w="10086"/>
      </w:tblGrid>
      <w:tr>
        <w:tc>
          <w:tcPr>
            <w:tcW w:type="dxa" w:w="10086"/>
            <w:shd w:val="clear" w:fill="FEF3C7"/>
          </w:tcPr>
          <w:p>
            <w:pPr>
              <w:spacing w:after="40"/>
            </w:pPr>
            <w:r/>
            <w:r>
              <w:rPr>
                <w:b/>
                <w:color w:val="B45309"/>
                <w:sz w:val="20"/>
              </w:rPr>
              <w:t>WORTH MORE THAN ANY FEATURE ON THE COMPARISON TABLE - AND IT TAKES MONTHS, SO START EARLY</w:t>
            </w:r>
          </w:p>
        </w:tc>
      </w:tr>
    </w:tbl>
    <w:p>
      <w:pPr>
        <w:spacing w:after="40"/>
      </w:pP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