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7F4EC"/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7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brie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pBdr>
          <w:bottom w:val="single" w:sz="8" w:space="4" w:color="A8842F"/>
        </w:pBdr>
        <w:spacing w:before="80" w:after="200"/>
        <w:jc w:val="center"/>
        <w:outlineLvl w:val="0"/>
      </w:pPr>
      <w:bookmarkStart w:id="101" w:name="toc"/>
      <w:r>
        <w:rPr>
          <w:rFonts w:ascii="Times New Roman" w:hAnsi="Times New Roman" w:cs="Times New Roman" w:eastAsia="黑体" w:hint="eastAsia"/>
          <w:b/>
          <w:i w:val="0"/>
          <w:color w:val="12233B"/>
          <w:sz w:val="32"/>
        </w:rPr>
        <w:t>目　　录</w:t>
      </w:r>
      <w:bookmarkEnd w:id="101"/>
    </w:p>
    <w:p>
      <w:pPr>
        <w:tabs>
          <w:tab w:val="right" w:leader="dot" w:pos="9070"/>
        </w:tabs>
        <w:spacing w:line="480" w:lineRule="exact" w:before="80" w:after="0"/>
        <w:ind w:left="0"/>
        <w:jc w:val="left"/>
      </w:pPr>
      <w:r>
        <w:fldChar w:fldCharType="begin"/>
      </w:r>
      <w:r>
        <w:rPr>
          <w:rFonts w:ascii="Times New Roman" w:hAnsi="Times New Roman" w:cs="Times New Roman" w:eastAsia="黑体" w:hint="eastAsia"/>
          <w:sz w:val="26"/>
        </w:rPr>
        <w:instrText xml:space="preserve"> HYPERLINK \l "ch_1" </w:instrText>
      </w:r>
      <w:r>
        <w:fldChar w:fldCharType="separate"/>
      </w:r>
      <w:r>
        <w:rPr>
          <w:rFonts w:ascii="Times New Roman" w:hAnsi="Times New Roman" w:cs="Times New Roman" w:eastAsia="黑体" w:hint="eastAsia"/>
          <w:b/>
          <w:i w:val="0"/>
          <w:color w:val="12233B"/>
          <w:sz w:val="26"/>
        </w:rPr>
        <w:t>一、总体结论</w:t>
      </w:r>
      <w:r>
        <w:rPr>
          <w:rFonts w:ascii="Times New Roman" w:hAnsi="Times New Roman" w:cs="Times New Roman" w:eastAsia="Times New Roman" w:hint="eastAsia"/>
          <w:b/>
          <w:i w:val="0"/>
          <w:color w:val="12233B"/>
          <w:sz w:val="26"/>
        </w:rPr>
        <w:tab/>
        <w:t>1</w:t>
      </w:r>
      <w:r>
        <w:fldChar w:fldCharType="end"/>
      </w:r>
    </w:p>
    <w:p>
      <w:pPr>
        <w:tabs>
          <w:tab w:val="right" w:leader="dot" w:pos="9070"/>
        </w:tabs>
        <w:spacing w:line="480" w:lineRule="exact" w:before="80" w:after="0"/>
        <w:ind w:left="0"/>
        <w:jc w:val="left"/>
      </w:pPr>
      <w:r>
        <w:fldChar w:fldCharType="begin"/>
      </w:r>
      <w:r>
        <w:rPr>
          <w:rFonts w:ascii="Times New Roman" w:hAnsi="Times New Roman" w:cs="Times New Roman" w:eastAsia="黑体" w:hint="eastAsia"/>
          <w:sz w:val="26"/>
        </w:rPr>
        <w:instrText xml:space="preserve"> HYPERLINK \l "ch_2" </w:instrText>
      </w:r>
      <w:r>
        <w:fldChar w:fldCharType="separate"/>
      </w:r>
      <w:r>
        <w:rPr>
          <w:rFonts w:ascii="Times New Roman" w:hAnsi="Times New Roman" w:cs="Times New Roman" w:eastAsia="黑体" w:hint="eastAsia"/>
          <w:b/>
          <w:i w:val="0"/>
          <w:color w:val="12233B"/>
          <w:sz w:val="26"/>
        </w:rPr>
        <w:t>二、两系统一览</w:t>
      </w:r>
      <w:r>
        <w:rPr>
          <w:rFonts w:ascii="Times New Roman" w:hAnsi="Times New Roman" w:cs="Times New Roman" w:eastAsia="Times New Roman" w:hint="eastAsia"/>
          <w:b/>
          <w:i w:val="0"/>
          <w:color w:val="12233B"/>
          <w:sz w:val="26"/>
        </w:rPr>
        <w:tab/>
        <w:t>3</w:t>
      </w:r>
      <w:r>
        <w:fldChar w:fldCharType="end"/>
      </w:r>
    </w:p>
    <w:p>
      <w:pPr>
        <w:tabs>
          <w:tab w:val="right" w:leader="dot" w:pos="9070"/>
        </w:tabs>
        <w:spacing w:line="480" w:lineRule="exact" w:before="80" w:after="0"/>
        <w:ind w:left="0"/>
        <w:jc w:val="left"/>
      </w:pPr>
      <w:r>
        <w:fldChar w:fldCharType="begin"/>
      </w:r>
      <w:r>
        <w:rPr>
          <w:rFonts w:ascii="Times New Roman" w:hAnsi="Times New Roman" w:cs="Times New Roman" w:eastAsia="黑体" w:hint="eastAsia"/>
          <w:sz w:val="26"/>
        </w:rPr>
        <w:instrText xml:space="preserve"> HYPERLINK \l "ch_3" </w:instrText>
      </w:r>
      <w:r>
        <w:fldChar w:fldCharType="separate"/>
      </w:r>
      <w:r>
        <w:rPr>
          <w:rFonts w:ascii="Times New Roman" w:hAnsi="Times New Roman" w:cs="Times New Roman" w:eastAsia="黑体" w:hint="eastAsia"/>
          <w:b/>
          <w:i w:val="0"/>
          <w:color w:val="12233B"/>
          <w:sz w:val="26"/>
        </w:rPr>
        <w:t>三、前世今生</w:t>
      </w:r>
      <w:r>
        <w:rPr>
          <w:rFonts w:ascii="Times New Roman" w:hAnsi="Times New Roman" w:cs="Times New Roman" w:eastAsia="Times New Roman" w:hint="eastAsia"/>
          <w:b/>
          <w:i w:val="0"/>
          <w:color w:val="12233B"/>
          <w:sz w:val="26"/>
        </w:rPr>
        <w:tab/>
        <w:t>5</w:t>
      </w:r>
      <w:r>
        <w:fldChar w:fldCharType="end"/>
      </w:r>
    </w:p>
    <w:p>
      <w:pPr>
        <w:tabs>
          <w:tab w:val="right" w:leader="dot" w:pos="9070"/>
        </w:tabs>
        <w:spacing w:line="480" w:lineRule="exact" w:before="80" w:after="0"/>
        <w:ind w:left="0"/>
        <w:jc w:val="left"/>
      </w:pPr>
      <w:r>
        <w:fldChar w:fldCharType="begin"/>
      </w:r>
      <w:r>
        <w:rPr>
          <w:rFonts w:ascii="Times New Roman" w:hAnsi="Times New Roman" w:cs="Times New Roman" w:eastAsia="黑体" w:hint="eastAsia"/>
          <w:sz w:val="26"/>
        </w:rPr>
        <w:instrText xml:space="preserve"> HYPERLINK \l "ch_4" </w:instrText>
      </w:r>
      <w:r>
        <w:fldChar w:fldCharType="separate"/>
      </w:r>
      <w:r>
        <w:rPr>
          <w:rFonts w:ascii="Times New Roman" w:hAnsi="Times New Roman" w:cs="Times New Roman" w:eastAsia="黑体" w:hint="eastAsia"/>
          <w:b/>
          <w:i w:val="0"/>
          <w:color w:val="12233B"/>
          <w:sz w:val="26"/>
        </w:rPr>
        <w:t>四、Lattice 架构与功能</w:t>
      </w:r>
      <w:r>
        <w:rPr>
          <w:rFonts w:ascii="Times New Roman" w:hAnsi="Times New Roman" w:cs="Times New Roman" w:eastAsia="Times New Roman" w:hint="eastAsia"/>
          <w:b/>
          <w:i w:val="0"/>
          <w:color w:val="12233B"/>
          <w:sz w:val="26"/>
        </w:rPr>
        <w:tab/>
        <w:t>7</w:t>
      </w:r>
      <w:r>
        <w:fldChar w:fldCharType="end"/>
      </w:r>
    </w:p>
    <w:p>
      <w:pPr>
        <w:tabs>
          <w:tab w:val="right" w:leader="dot" w:pos="9070"/>
        </w:tabs>
        <w:spacing w:line="480" w:lineRule="exact" w:before="80" w:after="0"/>
        <w:ind w:left="0"/>
        <w:jc w:val="left"/>
      </w:pPr>
      <w:r>
        <w:fldChar w:fldCharType="begin"/>
      </w:r>
      <w:r>
        <w:rPr>
          <w:rFonts w:ascii="Times New Roman" w:hAnsi="Times New Roman" w:cs="Times New Roman" w:eastAsia="黑体" w:hint="eastAsia"/>
          <w:sz w:val="26"/>
        </w:rPr>
        <w:instrText xml:space="preserve"> HYPERLINK \l "ch_5" </w:instrText>
      </w:r>
      <w:r>
        <w:fldChar w:fldCharType="separate"/>
      </w:r>
      <w:r>
        <w:rPr>
          <w:rFonts w:ascii="Times New Roman" w:hAnsi="Times New Roman" w:cs="Times New Roman" w:eastAsia="黑体" w:hint="eastAsia"/>
          <w:b/>
          <w:i w:val="0"/>
          <w:color w:val="12233B"/>
          <w:sz w:val="26"/>
        </w:rPr>
        <w:t>五、Maven 架构与功能</w:t>
      </w:r>
      <w:r>
        <w:rPr>
          <w:rFonts w:ascii="Times New Roman" w:hAnsi="Times New Roman" w:cs="Times New Roman" w:eastAsia="Times New Roman" w:hint="eastAsia"/>
          <w:b/>
          <w:i w:val="0"/>
          <w:color w:val="12233B"/>
          <w:sz w:val="26"/>
        </w:rPr>
        <w:tab/>
        <w:t>9</w:t>
      </w:r>
      <w:r>
        <w:fldChar w:fldCharType="end"/>
      </w:r>
    </w:p>
    <w:p>
      <w:pPr>
        <w:tabs>
          <w:tab w:val="right" w:leader="dot" w:pos="9070"/>
        </w:tabs>
        <w:spacing w:line="480" w:lineRule="exact" w:before="80" w:after="0"/>
        <w:ind w:left="0"/>
        <w:jc w:val="left"/>
      </w:pPr>
      <w:r>
        <w:fldChar w:fldCharType="begin"/>
      </w:r>
      <w:r>
        <w:rPr>
          <w:rFonts w:ascii="Times New Roman" w:hAnsi="Times New Roman" w:cs="Times New Roman" w:eastAsia="黑体" w:hint="eastAsia"/>
          <w:sz w:val="26"/>
        </w:rPr>
        <w:instrText xml:space="preserve"> HYPERLINK \l "ch_6" </w:instrText>
      </w:r>
      <w:r>
        <w:fldChar w:fldCharType="separate"/>
      </w:r>
      <w:r>
        <w:rPr>
          <w:rFonts w:ascii="Times New Roman" w:hAnsi="Times New Roman" w:cs="Times New Roman" w:eastAsia="黑体" w:hint="eastAsia"/>
          <w:b/>
          <w:i w:val="0"/>
          <w:color w:val="12233B"/>
          <w:sz w:val="26"/>
        </w:rPr>
        <w:t>六、能力评估</w:t>
      </w:r>
      <w:r>
        <w:rPr>
          <w:rFonts w:ascii="Times New Roman" w:hAnsi="Times New Roman" w:cs="Times New Roman" w:eastAsia="Times New Roman" w:hint="eastAsia"/>
          <w:b/>
          <w:i w:val="0"/>
          <w:color w:val="12233B"/>
          <w:sz w:val="26"/>
        </w:rPr>
        <w:tab/>
        <w:t>11</w:t>
      </w:r>
      <w:r>
        <w:fldChar w:fldCharType="end"/>
      </w:r>
    </w:p>
    <w:p>
      <w:pPr>
        <w:tabs>
          <w:tab w:val="right" w:leader="dot" w:pos="9070"/>
        </w:tabs>
        <w:spacing w:line="480" w:lineRule="exact" w:before="80" w:after="0"/>
        <w:ind w:left="0"/>
        <w:jc w:val="left"/>
      </w:pPr>
      <w:r>
        <w:fldChar w:fldCharType="begin"/>
      </w:r>
      <w:r>
        <w:rPr>
          <w:rFonts w:ascii="Times New Roman" w:hAnsi="Times New Roman" w:cs="Times New Roman" w:eastAsia="黑体" w:hint="eastAsia"/>
          <w:sz w:val="26"/>
        </w:rPr>
        <w:instrText xml:space="preserve"> HYPERLINK \l "ch_7" </w:instrText>
      </w:r>
      <w:r>
        <w:fldChar w:fldCharType="separate"/>
      </w:r>
      <w:r>
        <w:rPr>
          <w:rFonts w:ascii="Times New Roman" w:hAnsi="Times New Roman" w:cs="Times New Roman" w:eastAsia="黑体" w:hint="eastAsia"/>
          <w:b/>
          <w:i w:val="0"/>
          <w:color w:val="12233B"/>
          <w:sz w:val="26"/>
        </w:rPr>
        <w:t>七、合作分工与集成</w:t>
      </w:r>
      <w:r>
        <w:rPr>
          <w:rFonts w:ascii="Times New Roman" w:hAnsi="Times New Roman" w:cs="Times New Roman" w:eastAsia="Times New Roman" w:hint="eastAsia"/>
          <w:b/>
          <w:i w:val="0"/>
          <w:color w:val="12233B"/>
          <w:sz w:val="26"/>
        </w:rPr>
        <w:tab/>
        <w:t>13</w:t>
      </w:r>
      <w:r>
        <w:fldChar w:fldCharType="end"/>
      </w:r>
    </w:p>
    <w:p>
      <w:pPr>
        <w:tabs>
          <w:tab w:val="right" w:leader="dot" w:pos="9070"/>
        </w:tabs>
        <w:spacing w:line="480" w:lineRule="exact" w:before="80" w:after="0"/>
        <w:ind w:left="0"/>
        <w:jc w:val="left"/>
      </w:pPr>
      <w:r>
        <w:fldChar w:fldCharType="begin"/>
      </w:r>
      <w:r>
        <w:rPr>
          <w:rFonts w:ascii="Times New Roman" w:hAnsi="Times New Roman" w:cs="Times New Roman" w:eastAsia="黑体" w:hint="eastAsia"/>
          <w:sz w:val="26"/>
        </w:rPr>
        <w:instrText xml:space="preserve"> HYPERLINK \l "ch_8" </w:instrText>
      </w:r>
      <w:r>
        <w:fldChar w:fldCharType="separate"/>
      </w:r>
      <w:r>
        <w:rPr>
          <w:rFonts w:ascii="Times New Roman" w:hAnsi="Times New Roman" w:cs="Times New Roman" w:eastAsia="黑体" w:hint="eastAsia"/>
          <w:b/>
          <w:i w:val="0"/>
          <w:color w:val="12233B"/>
          <w:sz w:val="26"/>
        </w:rPr>
        <w:t>八、国家层面布局</w:t>
      </w:r>
      <w:r>
        <w:rPr>
          <w:rFonts w:ascii="Times New Roman" w:hAnsi="Times New Roman" w:cs="Times New Roman" w:eastAsia="Times New Roman" w:hint="eastAsia"/>
          <w:b/>
          <w:i w:val="0"/>
          <w:color w:val="12233B"/>
          <w:sz w:val="26"/>
        </w:rPr>
        <w:tab/>
        <w:t>16</w:t>
      </w:r>
      <w:r>
        <w:fldChar w:fldCharType="end"/>
      </w:r>
    </w:p>
    <w:p>
      <w:pPr>
        <w:tabs>
          <w:tab w:val="right" w:leader="dot" w:pos="9070"/>
        </w:tabs>
        <w:spacing w:line="480" w:lineRule="exact" w:before="80" w:after="0"/>
        <w:ind w:left="0"/>
        <w:jc w:val="left"/>
      </w:pPr>
      <w:r>
        <w:fldChar w:fldCharType="begin"/>
      </w:r>
      <w:r>
        <w:rPr>
          <w:rFonts w:ascii="Times New Roman" w:hAnsi="Times New Roman" w:cs="Times New Roman" w:eastAsia="黑体" w:hint="eastAsia"/>
          <w:sz w:val="26"/>
        </w:rPr>
        <w:instrText xml:space="preserve"> HYPERLINK \l "ch_9" </w:instrText>
      </w:r>
      <w:r>
        <w:fldChar w:fldCharType="separate"/>
      </w:r>
      <w:r>
        <w:rPr>
          <w:rFonts w:ascii="Times New Roman" w:hAnsi="Times New Roman" w:cs="Times New Roman" w:eastAsia="黑体" w:hint="eastAsia"/>
          <w:b/>
          <w:i w:val="0"/>
          <w:color w:val="12233B"/>
          <w:sz w:val="26"/>
        </w:rPr>
        <w:t>九、合同与经费统计</w:t>
      </w:r>
      <w:r>
        <w:rPr>
          <w:rFonts w:ascii="Times New Roman" w:hAnsi="Times New Roman" w:cs="Times New Roman" w:eastAsia="Times New Roman" w:hint="eastAsia"/>
          <w:b/>
          <w:i w:val="0"/>
          <w:color w:val="12233B"/>
          <w:sz w:val="26"/>
        </w:rPr>
        <w:tab/>
        <w:t>18</w:t>
      </w:r>
      <w:r>
        <w:fldChar w:fldCharType="end"/>
      </w:r>
    </w:p>
    <w:p>
      <w:pPr>
        <w:tabs>
          <w:tab w:val="right" w:leader="dot" w:pos="9070"/>
        </w:tabs>
        <w:spacing w:line="480" w:lineRule="exact" w:before="80" w:after="0"/>
        <w:ind w:left="0"/>
        <w:jc w:val="left"/>
      </w:pPr>
      <w:r>
        <w:fldChar w:fldCharType="begin"/>
      </w:r>
      <w:r>
        <w:rPr>
          <w:rFonts w:ascii="Times New Roman" w:hAnsi="Times New Roman" w:cs="Times New Roman" w:eastAsia="黑体" w:hint="eastAsia"/>
          <w:sz w:val="26"/>
        </w:rPr>
        <w:instrText xml:space="preserve"> HYPERLINK \l "ch_10" </w:instrText>
      </w:r>
      <w:r>
        <w:fldChar w:fldCharType="separate"/>
      </w:r>
      <w:r>
        <w:rPr>
          <w:rFonts w:ascii="Times New Roman" w:hAnsi="Times New Roman" w:cs="Times New Roman" w:eastAsia="黑体" w:hint="eastAsia"/>
          <w:b/>
          <w:i w:val="0"/>
          <w:color w:val="12233B"/>
          <w:sz w:val="26"/>
        </w:rPr>
        <w:t>十、研判与关注</w:t>
      </w:r>
      <w:r>
        <w:rPr>
          <w:rFonts w:ascii="Times New Roman" w:hAnsi="Times New Roman" w:cs="Times New Roman" w:eastAsia="Times New Roman" w:hint="eastAsia"/>
          <w:b/>
          <w:i w:val="0"/>
          <w:color w:val="12233B"/>
          <w:sz w:val="26"/>
        </w:rPr>
        <w:tab/>
        <w:t>21</w:t>
      </w:r>
      <w:r>
        <w:fldChar w:fldCharType="end"/>
      </w:r>
    </w:p>
    <w:p>
      <w:pPr>
        <w:sectPr>
          <w:footerReference w:type="default" r:id="rId10"/>
          <w:footerReference w:type="first" r:id="rId11"/>
          <w:footerReference w:type="even" r:id="rId12"/>
          <w:pgSz w:w="11906" w:h="16838"/>
          <w:pgMar w:top="1474" w:right="1417" w:bottom="1361" w:left="1417" w:header="680" w:footer="624" w:gutter="0"/>
          <w:cols w:space="720"/>
          <w:docGrid w:linePitch="360"/>
        </w:sectPr>
      </w:pPr>
    </w:p>
    <w:p>
      <w:pPr>
        <w:pBdr>
          <w:bottom w:val="single" w:sz="12" w:space="4" w:color="A8842F"/>
        </w:pBdr>
        <w:spacing w:before="0" w:after="40"/>
        <w:jc w:val="left"/>
      </w:pPr>
      <w:r>
        <w:rPr>
          <w:rFonts w:ascii="Times New Roman" w:hAnsi="Times New Roman" w:cs="Times New Roman" w:eastAsia="黑体" w:hint="eastAsia"/>
          <w:b/>
          <w:i w:val="0"/>
          <w:color w:val="12233B"/>
          <w:sz w:val="44"/>
        </w:rPr>
        <w:t>析光 XIGUANG</w:t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2"/>
        </w:rPr>
        <w:t xml:space="preserve">　｜　鸿眼·科研情报刊物　特情 · 2026年10月</w:t>
      </w:r>
    </w:p>
    <w:p>
      <w:pPr>
        <w:spacing w:before="120" w:after="160"/>
        <w:jc w:val="left"/>
      </w:pPr>
      <w:r>
        <w:rPr>
          <w:rFonts w:ascii="Times New Roman" w:hAnsi="Times New Roman" w:cs="Times New Roman" w:eastAsia="黑体" w:hint="eastAsia"/>
          <w:b/>
          <w:i w:val="0"/>
          <w:color w:val="A8842F"/>
          <w:sz w:val="22"/>
        </w:rPr>
        <w:t>◆ 体系研判｜SYSTEM</w:t>
      </w:r>
    </w:p>
    <w:p>
      <w:pPr>
        <w:spacing w:line="640" w:lineRule="exact" w:before="240" w:after="80"/>
        <w:jc w:val="center"/>
      </w:pPr>
      <w:r>
        <w:rPr>
          <w:rFonts w:ascii="Times New Roman" w:hAnsi="Times New Roman" w:cs="Times New Roman" w:eastAsia="黑体" w:hint="eastAsia"/>
          <w:b/>
          <w:i w:val="0"/>
          <w:color w:val="12233B"/>
          <w:sz w:val="40"/>
        </w:rPr>
        <w:t>算法战双核</w:t>
      </w:r>
    </w:p>
    <w:p>
      <w:pPr>
        <w:spacing w:line="480" w:lineRule="exact" w:before="0" w:after="120"/>
        <w:jc w:val="center"/>
      </w:pP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8"/>
        </w:rPr>
        <w:t>——美军“边缘神经网”与“目标工厂”精要版（总结·概括·架构·统计·观点）</w:t>
      </w:r>
    </w:p>
    <w:p>
      <w:pPr>
        <w:spacing w:line="400" w:lineRule="exact" w:before="0" w:after="200"/>
        <w:jc w:val="center"/>
      </w:pP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2"/>
        </w:rPr>
        <w:t>文｜无人体系中心科技情报组（鸿眼）</w:t>
      </w:r>
    </w:p>
    <w:p>
      <w:pPr>
        <w:keepNext/>
        <w:pBdr>
          <w:bottom w:val="single" w:sz="6" w:space="4" w:color="12233B"/>
        </w:pBdr>
        <w:spacing w:before="360" w:after="160"/>
        <w:jc w:val="left"/>
        <w:outlineLvl w:val="0"/>
      </w:pPr>
      <w:bookmarkStart w:id="102" w:name="ch_1"/>
      <w:r>
        <w:rPr>
          <w:rFonts w:ascii="Times New Roman" w:hAnsi="Times New Roman" w:cs="Times New Roman" w:eastAsia="黑体" w:hint="eastAsia"/>
          <w:b/>
          <w:i w:val="0"/>
          <w:color w:val="A8842F"/>
          <w:sz w:val="34"/>
        </w:rPr>
        <w:t>一、</w:t>
      </w:r>
      <w:r>
        <w:rPr>
          <w:rFonts w:ascii="Times New Roman" w:hAnsi="Times New Roman" w:cs="Times New Roman" w:eastAsia="黑体" w:hint="eastAsia"/>
          <w:b/>
          <w:i w:val="0"/>
          <w:color w:val="12233B"/>
          <w:sz w:val="30"/>
        </w:rPr>
        <w:t>总体结论</w:t>
      </w:r>
      <w:bookmarkEnd w:id="102"/>
    </w:p>
    <w:p>
      <w:pPr>
        <w:pBdr>
          <w:left w:val="single" w:sz="24" w:space="8" w:color="A8842F"/>
        </w:pBdr>
        <w:shd w:val="clear" w:color="auto" w:fill="FFFFFF"/>
        <w:spacing w:line="480" w:lineRule="exact" w:before="120" w:after="240"/>
        <w:ind w:left="240" w:right="12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6"/>
        </w:rPr>
        <w:t>Lattice 与 Maven 智能系统</w:t>
      </w:r>
      <w:r>
        <w:rPr>
          <w:rFonts w:ascii="Times New Roman" w:hAnsi="Times New Roman" w:cs="Times New Roman" w:eastAsia="楷体_GB2312" w:hint="eastAsia"/>
          <w:b w:val="0"/>
          <w:i w:val="0"/>
          <w:color w:val="222222"/>
          <w:sz w:val="26"/>
        </w:rPr>
        <w:t>（MSS）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6"/>
        </w:rPr>
        <w:t>是美军 AI 杀伤链上分工不同、深度耦合的两套核心软件。MSS 是政府定义、由 Palantir 平台承载的企业级目标生成与管理系统，解决“打什么、按什么顺序打”；Lattice 是 Anduril 自有、以边缘为先的传感器—效应器网格与自主操作系统，解决“派谁在几秒内去打”。两者的地位主要由采购决策和战争使用确立，扩张明显先于独立评估。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本报告为《Lattice 与 Maven 两系统深度调研》的精要版，事实均取自完整版，数据截至 2026 年 10 月 10 日。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图1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汇集两系统最关键的十二个数字。Anduril 一侧多为估值、营收、合同上限和节点数量，Maven 一侧多为用户数、合同上限、预算申请和战役总量，两类数字计量对象不同，不宜横向比较；合同数字均为上限，不代表已发生的支出。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在国家布局中，两家均处于中间层：MSS 在 AI 指挥控制主线，Lattice 在规模化无人系统主线。FY2027 自主作战群约 546 亿美元申请的落地规模，是 Lattice 增长的最大变量。“MSS 提名、Lattice 执行”的端到端管线目前仍属分析性构建，其中最薄弱的环节是两系统之间未公开的接口。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35632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kpi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563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00" w:lineRule="exact" w:before="0" w:after="40"/>
        <w:jc w:val="center"/>
      </w:pPr>
      <w:bookmarkStart w:id="103" w:name="fig_1"/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图</w: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begin"/>
      </w:r>
      <w:r>
        <w:rPr>
          <w:rFonts w:ascii="Times New Roman" w:hAnsi="Times New Roman" w:cs="Times New Roman" w:eastAsia="楷体_GB2312" w:hint="eastAsia"/>
          <w:sz w:val="24"/>
        </w:rPr>
        <w:instrText xml:space="preserve"> SEQ 图 \* ARABIC </w:instrTex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separate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1</w: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end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 xml:space="preserve">  两系统关键数字看板</w:t>
      </w:r>
      <w:bookmarkEnd w:id="103"/>
    </w:p>
    <w:p>
      <w:pPr>
        <w:spacing w:line="360" w:lineRule="exact" w:before="0" w:after="200"/>
        <w:jc w:val="center"/>
      </w:pP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1"/>
        </w:rPr>
        <w:t>来源：本报告依据公开报道、官方公告与公司披露整理；合同上限不等于实际拨付</w:t>
      </w:r>
    </w:p>
    <w:p>
      <w:pPr>
        <w:pBdr>
          <w:left w:val="single" w:sz="24" w:space="8" w:color="A8842F"/>
        </w:pBdr>
        <w:shd w:val="clear" w:color="auto" w:fill="FFFFFF"/>
        <w:spacing w:line="480" w:lineRule="exact" w:before="160" w:after="0"/>
        <w:ind w:left="240" w:right="120"/>
        <w:jc w:val="left"/>
      </w:pPr>
      <w:r>
        <w:rPr>
          <w:rFonts w:ascii="Times New Roman" w:hAnsi="Times New Roman" w:cs="Times New Roman" w:eastAsia="黑体" w:hint="eastAsia"/>
          <w:b/>
          <w:i w:val="0"/>
          <w:color w:val="A8842F"/>
          <w:sz w:val="26"/>
        </w:rPr>
        <w:t>核心判断</w:t>
      </w:r>
    </w:p>
    <w:p>
      <w:pPr>
        <w:pBdr>
          <w:left w:val="single" w:sz="24" w:space="8" w:color="A8842F"/>
        </w:pBdr>
        <w:shd w:val="clear" w:color="auto" w:fill="FFFFFF"/>
        <w:spacing w:line="480" w:lineRule="exact" w:before="0" w:after="0"/>
        <w:ind w:left="240" w:right="120"/>
        <w:jc w:val="both"/>
      </w:pPr>
      <w:r>
        <w:rPr>
          <w:rFonts w:ascii="Times New Roman" w:hAnsi="Times New Roman" w:cs="Times New Roman" w:eastAsia="仿宋_GB2312" w:hint="eastAsia"/>
          <w:b/>
          <w:i w:val="0"/>
          <w:color w:val="A8842F"/>
          <w:sz w:val="26"/>
        </w:rPr>
        <w:t xml:space="preserve">① 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6"/>
        </w:rPr>
        <w:t>MSS 有独立预算线，正转为正式项目，用户超过 10 万；Lattice 无单列预算线，作为软件内核嵌入众多项目。</w:t>
      </w:r>
    </w:p>
    <w:p>
      <w:pPr>
        <w:pBdr>
          <w:left w:val="single" w:sz="24" w:space="8" w:color="A8842F"/>
        </w:pBdr>
        <w:shd w:val="clear" w:color="auto" w:fill="FFFFFF"/>
        <w:spacing w:line="480" w:lineRule="exact" w:before="0" w:after="0"/>
        <w:ind w:left="240" w:right="120"/>
        <w:jc w:val="both"/>
      </w:pPr>
      <w:r>
        <w:rPr>
          <w:rFonts w:ascii="Times New Roman" w:hAnsi="Times New Roman" w:cs="Times New Roman" w:eastAsia="仿宋_GB2312" w:hint="eastAsia"/>
          <w:b/>
          <w:i w:val="0"/>
          <w:color w:val="A8842F"/>
          <w:sz w:val="26"/>
        </w:rPr>
        <w:t xml:space="preserve">② 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6"/>
        </w:rPr>
        <w:t>两家分工稳定：边缘与执行归 Anduril，企业与决策归 Palantir；陆军 NGC2 是合作锚点。</w:t>
      </w:r>
    </w:p>
    <w:p>
      <w:pPr>
        <w:pBdr>
          <w:left w:val="single" w:sz="24" w:space="8" w:color="A8842F"/>
        </w:pBdr>
        <w:shd w:val="clear" w:color="auto" w:fill="FFFFFF"/>
        <w:spacing w:line="480" w:lineRule="exact" w:before="0" w:after="0"/>
        <w:ind w:left="240" w:right="120"/>
        <w:jc w:val="both"/>
      </w:pPr>
      <w:r>
        <w:rPr>
          <w:rFonts w:ascii="Times New Roman" w:hAnsi="Times New Roman" w:cs="Times New Roman" w:eastAsia="仿宋_GB2312" w:hint="eastAsia"/>
          <w:b/>
          <w:i w:val="0"/>
          <w:color w:val="A8842F"/>
          <w:sz w:val="26"/>
        </w:rPr>
        <w:t xml:space="preserve">③ 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6"/>
        </w:rPr>
        <w:t>合作并不排他：两家在北约 eAirC2 评估中与法国 Athea 正面竞争，预计约 2027 年春选型。</w:t>
      </w:r>
    </w:p>
    <w:p>
      <w:pPr>
        <w:pBdr>
          <w:left w:val="single" w:sz="24" w:space="8" w:color="A8842F"/>
        </w:pBdr>
        <w:shd w:val="clear" w:color="auto" w:fill="FFFFFF"/>
        <w:spacing w:line="480" w:lineRule="exact" w:before="0" w:after="0"/>
        <w:ind w:left="240" w:right="120"/>
        <w:jc w:val="both"/>
      </w:pPr>
      <w:r>
        <w:rPr>
          <w:rFonts w:ascii="Times New Roman" w:hAnsi="Times New Roman" w:cs="Times New Roman" w:eastAsia="仿宋_GB2312" w:hint="eastAsia"/>
          <w:b/>
          <w:i w:val="0"/>
          <w:color w:val="A8842F"/>
          <w:sz w:val="26"/>
        </w:rPr>
        <w:t xml:space="preserve">④ 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6"/>
        </w:rPr>
        <w:t>合同已演进为“企业协议加任务订单”，陆军两份十年期协议上限分别为 100 亿、200 亿美元，锁定加深。</w:t>
      </w:r>
    </w:p>
    <w:p>
      <w:pPr>
        <w:pBdr>
          <w:left w:val="single" w:sz="24" w:space="8" w:color="A8842F"/>
        </w:pBdr>
        <w:shd w:val="clear" w:color="auto" w:fill="FFFFFF"/>
        <w:spacing w:line="480" w:lineRule="exact" w:before="0" w:after="0"/>
        <w:ind w:left="240" w:right="120"/>
        <w:jc w:val="both"/>
      </w:pPr>
      <w:r>
        <w:rPr>
          <w:rFonts w:ascii="Times New Roman" w:hAnsi="Times New Roman" w:cs="Times New Roman" w:eastAsia="仿宋_GB2312" w:hint="eastAsia"/>
          <w:b/>
          <w:i w:val="0"/>
          <w:color w:val="A8842F"/>
          <w:sz w:val="26"/>
        </w:rPr>
        <w:t xml:space="preserve">⑤ 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6"/>
        </w:rPr>
        <w:t>MSS 已证实省人提速，准确性未获证实；Lattice 定量效能多为公司口径，乌克兰实战结果为负面。</w:t>
      </w:r>
    </w:p>
    <w:p>
      <w:pPr>
        <w:pBdr>
          <w:left w:val="single" w:sz="24" w:space="8" w:color="A8842F"/>
        </w:pBdr>
        <w:shd w:val="clear" w:color="auto" w:fill="FFFFFF"/>
        <w:spacing w:line="480" w:lineRule="exact" w:before="0" w:after="200"/>
        <w:ind w:left="240" w:right="120"/>
        <w:jc w:val="both"/>
      </w:pPr>
      <w:r>
        <w:rPr>
          <w:rFonts w:ascii="Times New Roman" w:hAnsi="Times New Roman" w:cs="Times New Roman" w:eastAsia="仿宋_GB2312" w:hint="eastAsia"/>
          <w:b/>
          <w:i w:val="0"/>
          <w:color w:val="A8842F"/>
          <w:sz w:val="26"/>
        </w:rPr>
        <w:t xml:space="preserve">⑥ 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6"/>
        </w:rPr>
        <w:t>主要风险为网络安全、自动化偏差、电子战下的可靠性和供应商锁定，两系统间接口不公开是最薄弱环节。</w:t>
      </w:r>
    </w:p>
    <w:p>
      <w:pPr>
        <w:keepNext/>
        <w:pBdr>
          <w:bottom w:val="single" w:sz="6" w:space="4" w:color="12233B"/>
        </w:pBdr>
        <w:spacing w:before="360" w:after="160"/>
        <w:jc w:val="left"/>
        <w:outlineLvl w:val="0"/>
      </w:pPr>
      <w:bookmarkStart w:id="104" w:name="ch_2"/>
      <w:r>
        <w:rPr>
          <w:rFonts w:ascii="Times New Roman" w:hAnsi="Times New Roman" w:cs="Times New Roman" w:eastAsia="黑体" w:hint="eastAsia"/>
          <w:b/>
          <w:i w:val="0"/>
          <w:color w:val="A8842F"/>
          <w:sz w:val="34"/>
        </w:rPr>
        <w:t>二、</w:t>
      </w:r>
      <w:r>
        <w:rPr>
          <w:rFonts w:ascii="Times New Roman" w:hAnsi="Times New Roman" w:cs="Times New Roman" w:eastAsia="黑体" w:hint="eastAsia"/>
          <w:b/>
          <w:i w:val="0"/>
          <w:color w:val="12233B"/>
          <w:sz w:val="30"/>
        </w:rPr>
        <w:t>两系统一览</w:t>
      </w:r>
      <w:bookmarkEnd w:id="104"/>
    </w:p>
    <w:p>
      <w:pPr>
        <w:pBdr>
          <w:left w:val="single" w:sz="24" w:space="8" w:color="A8842F"/>
        </w:pBdr>
        <w:shd w:val="clear" w:color="auto" w:fill="FFFFFF"/>
        <w:spacing w:line="480" w:lineRule="exact" w:before="120" w:after="240"/>
        <w:ind w:left="240" w:right="12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6"/>
        </w:rPr>
        <w:t>两系统的区别可概括为：MSS 是“政府拥有项目、企业提供平台”的企业级情报融合与目标工作流系统，Lattice 是“企业拥有平台、政府购买使用权”的边缘网格与自主操作系统；两者在出身、层级、形态和商业模式上基本互补。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Lattice 于 2017 年随 Anduril 创立推出，起步于美墨边境监视塔的传感器融合，2026 年成为美陆军 NGC2 通用数据层和陆军 200 亿美元企业协议的核心。Maven 源自 2017 年国防部“算法战跨职能小组”，经谷歌退出、演习孵化和 2022 年拆分改组，发展为以 Palantir 软件为主体、覆盖全部作战司令部和北约盟军作战司令部的 AI 指挥控制与目标定位平台。“Maven”目前对应两条线：NGA 主导的 GEOINT 模型流水线，以及 CDAO 主管、陆军承担合同、Palantir 提供平台的作战系统 MSS。本报告中“Maven”泛指整条项目线，涉及具体系统时分别写明。在杀伤链上，MSS 覆盖发现、定位、瞄准和评估，负责目标提名、排序与资产配对；Lattice 覆盖探测、跟踪和交战，负责效应器派遣与自主执行。两者的本质区别在于项目与组件之分：MSS 有独立预算线，Lattice 没有单列预算线，作为软件内核嵌入反无人机、指挥控制、太空监视等众多项目。</w:t>
      </w:r>
    </w:p>
    <w:p>
      <w:pPr>
        <w:keepNext/>
        <w:spacing w:line="400" w:lineRule="exact" w:before="160" w:after="80"/>
        <w:jc w:val="center"/>
      </w:pPr>
      <w:bookmarkStart w:id="105" w:name="tab_1"/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表</w: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begin"/>
      </w:r>
      <w:r>
        <w:rPr>
          <w:rFonts w:ascii="Times New Roman" w:hAnsi="Times New Roman" w:cs="Times New Roman" w:eastAsia="楷体_GB2312" w:hint="eastAsia"/>
          <w:sz w:val="24"/>
        </w:rPr>
        <w:instrText xml:space="preserve"> SEQ 表 \* ARABIC </w:instrTex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separate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1</w: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end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 xml:space="preserve">  两系统基本情况对照</w:t>
      </w:r>
      <w:bookmarkEnd w:id="105"/>
    </w:p>
    <w:tbl>
      <w:tblPr>
        <w:tblW w:w="9072" w:type="dxa"/>
        <w:jc w:val="center"/>
        <w:tblBorders>
          <w:top w:val="single" w:sz="8" w:space="0" w:color="12233B"/>
          <w:left w:val="single" w:sz="4" w:space="0" w:color="C9C2B0"/>
          <w:bottom w:val="single" w:sz="8" w:space="0" w:color="12233B"/>
          <w:right w:val="single" w:sz="4" w:space="0" w:color="C9C2B0"/>
          <w:insideH w:val="single" w:sz="4" w:space="0" w:color="C9C2B0"/>
          <w:insideV w:val="single" w:sz="4" w:space="0" w:color="C9C2B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firstColumn="1" w:firstRow="1" w:lastColumn="0" w:lastRow="0" w:noHBand="0" w:noVBand="1" w:val="04A0"/>
      </w:tblPr>
      <w:tblGrid>
        <w:gridCol w:w="1360"/>
        <w:gridCol w:w="3855"/>
        <w:gridCol w:w="3855"/>
      </w:tblGrid>
      <w:tr>
        <w:trPr>
          <w:cantSplit/>
          <w:tblHeader/>
        </w:trPr>
        <w:tc>
          <w:tcPr>
            <w:tcW w:w="1360" w:type="dxa"/>
            <w:shd w:val="clear" w:color="auto" w:fill="EFEBDF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12233B"/>
                <w:sz w:val="19"/>
              </w:rPr>
              <w:t>项目</w:t>
            </w:r>
          </w:p>
        </w:tc>
        <w:tc>
          <w:tcPr>
            <w:tcW w:w="3855" w:type="dxa"/>
            <w:shd w:val="clear" w:color="auto" w:fill="EFEBDF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12233B"/>
                <w:sz w:val="19"/>
              </w:rPr>
              <w:t>Lattice（Anduril）</w:t>
            </w:r>
          </w:p>
        </w:tc>
        <w:tc>
          <w:tcPr>
            <w:tcW w:w="3855" w:type="dxa"/>
            <w:shd w:val="clear" w:color="auto" w:fill="EFEBDF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12233B"/>
                <w:sz w:val="19"/>
              </w:rPr>
              <w:t>Maven 智能系统（Palantir 平台）</w:t>
            </w:r>
          </w:p>
        </w:tc>
      </w:tr>
      <w:tr>
        <w:trPr>
          <w:cantSplit/>
        </w:trPr>
        <w:tc>
          <w:tcPr>
            <w:tcW w:w="1360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起源</w:t>
            </w:r>
          </w:p>
        </w:tc>
        <w:tc>
          <w:tcPr>
            <w:tcW w:w="3855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2017 年随 Anduril 成立；首个用例为 CBP 边境监视塔</w:t>
            </w:r>
          </w:p>
        </w:tc>
        <w:tc>
          <w:tcPr>
            <w:tcW w:w="3855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2017-04-26 沃克备忘录成立算法战跨职能小组</w:t>
            </w:r>
          </w:p>
        </w:tc>
      </w:tr>
      <w:tr>
        <w:trPr>
          <w:cantSplit/>
        </w:trPr>
        <w:tc>
          <w:tcPr>
            <w:tcW w:w="1360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归属</w:t>
            </w:r>
          </w:p>
        </w:tc>
        <w:tc>
          <w:tcPr>
            <w:tcW w:w="3855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Anduril 自有知识产权；开放接口、封闭实现</w:t>
            </w:r>
          </w:p>
        </w:tc>
        <w:tc>
          <w:tcPr>
            <w:tcW w:w="3855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政府项目；CDAO 主管，陆军承担合同，Palantir 为平台商</w:t>
            </w:r>
          </w:p>
        </w:tc>
      </w:tr>
      <w:tr>
        <w:trPr>
          <w:cantSplit/>
        </w:trPr>
        <w:tc>
          <w:tcPr>
            <w:tcW w:w="1360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定位与层级</w:t>
            </w:r>
          </w:p>
        </w:tc>
        <w:tc>
          <w:tcPr>
            <w:tcW w:w="3855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边缘网格与自主操作系统；探测、跟踪、交战</w:t>
            </w:r>
          </w:p>
        </w:tc>
        <w:tc>
          <w:tcPr>
            <w:tcW w:w="3855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企业级情报融合与目标工作流；发现、定位、瞄准、评估</w:t>
            </w:r>
          </w:p>
        </w:tc>
      </w:tr>
      <w:tr>
        <w:trPr>
          <w:cantSplit/>
        </w:trPr>
        <w:tc>
          <w:tcPr>
            <w:tcW w:w="1360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部署形态</w:t>
            </w:r>
          </w:p>
        </w:tc>
        <w:tc>
          <w:tcPr>
            <w:tcW w:w="3855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边缘优先，DDIL 网状网格；Menace 便携节点</w:t>
            </w:r>
          </w:p>
        </w:tc>
        <w:tc>
          <w:tcPr>
            <w:tcW w:w="3855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企业云优先；3 个安全域、SIPRNet IL6、北约涉密网</w:t>
            </w:r>
          </w:p>
        </w:tc>
      </w:tr>
      <w:tr>
        <w:trPr>
          <w:cantSplit/>
        </w:trPr>
        <w:tc>
          <w:tcPr>
            <w:tcW w:w="1360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用户/客户</w:t>
            </w:r>
          </w:p>
        </w:tc>
        <w:tc>
          <w:tcPr>
            <w:tcW w:w="3855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CBP、SOCOM、陆战队、陆军、CDAO、太空军、空军 CCA、北约（评估）等</w:t>
            </w:r>
          </w:p>
        </w:tc>
        <w:tc>
          <w:tcPr>
            <w:tcW w:w="3855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联合参谋部、全部作战司令部、各军种、北约 ACO；用户 10 万以上</w:t>
            </w:r>
          </w:p>
        </w:tc>
      </w:tr>
      <w:tr>
        <w:trPr>
          <w:cantSplit/>
        </w:trPr>
        <w:tc>
          <w:tcPr>
            <w:tcW w:w="1360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核心合同</w:t>
            </w:r>
          </w:p>
        </w:tc>
        <w:tc>
          <w:tcPr>
            <w:tcW w:w="3855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陆军企业协议上限 200 亿美元；NGC2 扩展上限 18 亿美元</w:t>
            </w:r>
          </w:p>
        </w:tc>
        <w:tc>
          <w:tcPr>
            <w:tcW w:w="3855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陆军企业协议上限 100 亿美元；MSS 主合同上限约 12.75 亿美元</w:t>
            </w:r>
          </w:p>
        </w:tc>
      </w:tr>
      <w:tr>
        <w:trPr>
          <w:cantSplit/>
        </w:trPr>
        <w:tc>
          <w:tcPr>
            <w:tcW w:w="1360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现状</w:t>
            </w:r>
          </w:p>
        </w:tc>
        <w:tc>
          <w:tcPr>
            <w:tcW w:w="3855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陆军反无人机与 NGC2 核心数据层；首个北约合同</w:t>
            </w:r>
          </w:p>
        </w:tc>
        <w:tc>
          <w:tcPr>
            <w:tcW w:w="3855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转为正式项目；伊朗战事中大规模使用；北约版达到全面作战能力</w:t>
            </w:r>
          </w:p>
        </w:tc>
      </w:tr>
    </w:tbl>
    <w:p>
      <w:pPr>
        <w:spacing w:line="360" w:lineRule="exact" w:before="40" w:after="200"/>
        <w:jc w:val="left"/>
      </w:pP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1"/>
        </w:rPr>
        <w:t>来源：本报告依据完整版第一至三章整理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图2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标注了两系统可公开核实的部署与案例。</w:t>
      </w:r>
      <w:r>
        <w:rPr>
          <w:rFonts w:ascii="Times New Roman" w:hAnsi="Times New Roman" w:cs="Times New Roman" w:eastAsia="仿宋_GB2312" w:hint="eastAsia"/>
          <w:b/>
          <w:i w:val="0"/>
          <w:color w:val="222222"/>
          <w:sz w:val="28"/>
        </w:rPr>
        <w:t>Maven 的足迹分布在总部和战区，Lattice 的足迹分布在边境、基地、平台和工厂。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Maven 点位集中于 NGA 总部、布拉格堡、威斯巴登、北约 SHAPE 以及伊拉克/叙利亚、红海/也门和伊朗；Lattice 点位集中于美国本土边境与试验场、盟国平台与生产基地、对抗性实战或演习环境。两类点位明确重合之处仅有美国陆军体系和北约，前者是两家合作最深之处，后者是两家竞争最直接之处。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39111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worl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911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00" w:lineRule="exact" w:before="0" w:after="40"/>
        <w:jc w:val="center"/>
      </w:pPr>
      <w:bookmarkStart w:id="106" w:name="fig_2"/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图</w: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begin"/>
      </w:r>
      <w:r>
        <w:rPr>
          <w:rFonts w:ascii="Times New Roman" w:hAnsi="Times New Roman" w:cs="Times New Roman" w:eastAsia="楷体_GB2312" w:hint="eastAsia"/>
          <w:sz w:val="24"/>
        </w:rPr>
        <w:instrText xml:space="preserve"> SEQ 图 \* ARABIC </w:instrTex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separate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2</w: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end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 xml:space="preserve">  Lattice 与 Maven 全球部署与案例分布</w:t>
      </w:r>
      <w:bookmarkEnd w:id="106"/>
    </w:p>
    <w:p>
      <w:pPr>
        <w:spacing w:line="360" w:lineRule="exact" w:before="0" w:after="200"/>
        <w:jc w:val="center"/>
      </w:pP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1"/>
        </w:rPr>
        <w:t>来源：本报告依据各章所引公开报道绘制；编号位置为示意，关岛条目来源可信度低</w:t>
      </w:r>
    </w:p>
    <w:p>
      <w:pPr>
        <w:keepNext/>
        <w:pBdr>
          <w:bottom w:val="single" w:sz="6" w:space="4" w:color="12233B"/>
        </w:pBdr>
        <w:spacing w:before="360" w:after="160"/>
        <w:jc w:val="left"/>
        <w:outlineLvl w:val="0"/>
      </w:pPr>
      <w:bookmarkStart w:id="107" w:name="ch_3"/>
      <w:r>
        <w:rPr>
          <w:rFonts w:ascii="Times New Roman" w:hAnsi="Times New Roman" w:cs="Times New Roman" w:eastAsia="黑体" w:hint="eastAsia"/>
          <w:b/>
          <w:i w:val="0"/>
          <w:color w:val="A8842F"/>
          <w:sz w:val="34"/>
        </w:rPr>
        <w:t>三、</w:t>
      </w:r>
      <w:r>
        <w:rPr>
          <w:rFonts w:ascii="Times New Roman" w:hAnsi="Times New Roman" w:cs="Times New Roman" w:eastAsia="黑体" w:hint="eastAsia"/>
          <w:b/>
          <w:i w:val="0"/>
          <w:color w:val="12233B"/>
          <w:sz w:val="30"/>
        </w:rPr>
        <w:t>前世今生</w:t>
      </w:r>
      <w:bookmarkEnd w:id="107"/>
    </w:p>
    <w:p>
      <w:pPr>
        <w:pBdr>
          <w:left w:val="single" w:sz="24" w:space="8" w:color="A8842F"/>
        </w:pBdr>
        <w:shd w:val="clear" w:color="auto" w:fill="FFFFFF"/>
        <w:spacing w:line="480" w:lineRule="exact" w:before="120" w:after="240"/>
        <w:ind w:left="240" w:right="12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6"/>
        </w:rPr>
        <w:t>两系统均于 2017 年起步，用九年时间由试点发展为军种级或全军级骨干。Lattice 走的是“国土安全正式项目→国防部集成内核→开放平台→军种数据层”的企业路线，Maven 走的是“探路者项目→演习孵化→拆分改组→全军正式项目”的政府路线。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44749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timeli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474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00" w:lineRule="exact" w:before="0" w:after="40"/>
        <w:jc w:val="center"/>
      </w:pPr>
      <w:bookmarkStart w:id="108" w:name="fig_3"/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图</w: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begin"/>
      </w:r>
      <w:r>
        <w:rPr>
          <w:rFonts w:ascii="Times New Roman" w:hAnsi="Times New Roman" w:cs="Times New Roman" w:eastAsia="楷体_GB2312" w:hint="eastAsia"/>
          <w:sz w:val="24"/>
        </w:rPr>
        <w:instrText xml:space="preserve"> SEQ 图 \* ARABIC </w:instrTex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separate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3</w: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end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 xml:space="preserve">  Lattice 与 Maven 竖排双栏大事记（2017—2026）</w:t>
      </w:r>
      <w:bookmarkEnd w:id="108"/>
    </w:p>
    <w:p>
      <w:pPr>
        <w:spacing w:line="360" w:lineRule="exact" w:before="0" w:after="200"/>
        <w:jc w:val="center"/>
      </w:pP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1"/>
        </w:rPr>
        <w:t>来源：本报告依据各章所引资料绘制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Lattice 最初运行于 CBP 的 Sentry 监视塔，2020 年自主监视塔成为 CBP 正式采购项目，2024 年 9 月部署第 300 座。2022 年 SOCOM 选定 Anduril 为反无人系统集成伙伴，10 年期 IDIQ 上限 9.676 亿美元，Lattice 首次以集成内核身份进入国防部。2023 年推出任务自主产品 LMA，设计目标是由“多人操控一机”转向“一人操控多机”，EDGE23 演习中单兵指挥多型无人机完成打击；2024 年 12 月一周内获得 CDAO 1 亿美元边缘数据网格 OTA、宣布与 Palantir 合作、公开发布 SDK。2025 年相继获得陆战队设施反小型无人机合同</w:t>
      </w:r>
      <w:r>
        <w:rPr>
          <w:rFonts w:ascii="Times New Roman" w:hAnsi="Times New Roman" w:cs="Times New Roman" w:eastAsia="楷体_GB2312" w:hint="eastAsia"/>
          <w:b w:val="0"/>
          <w:i w:val="0"/>
          <w:color w:val="222222"/>
          <w:sz w:val="28"/>
        </w:rPr>
        <w:t>（上限 6.42 亿美元）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、NGC2 第 4 步兵师原型 OTA</w:t>
      </w:r>
      <w:r>
        <w:rPr>
          <w:rFonts w:ascii="Times New Roman" w:hAnsi="Times New Roman" w:cs="Times New Roman" w:eastAsia="楷体_GB2312" w:hint="eastAsia"/>
          <w:b w:val="0"/>
          <w:i w:val="0"/>
          <w:color w:val="222222"/>
          <w:sz w:val="28"/>
        </w:rPr>
        <w:t>（9,960 万美元）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，并被陆军选定为 IBCS-M 反无人机火控；2026 年陆军企业协议、NGC2 基线和扩展合同落地，并以 Lattice 获得首个北约合同。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Maven 于 2017 年 4 月立项，约两个月内获国会约 7,000 万美元；12 月首个算法部署中东，用于识别 ScanEagle 视频中的物体，从立项到上线约 8 个月。2018 年数千名谷歌员工请愿反对，谷歌宣布合同到期后不再续约，ECS、微软、AWS 等随即填补空缺。2020 年起，XVIII 空降军通过“猩红之龙”演习与多达 70 家公司合作，将其改造为整合传感器、目标识别和火力分配的 MSS。2022—2023 年 GEOINT 部分</w:t>
      </w:r>
      <w:r>
        <w:rPr>
          <w:rFonts w:ascii="Times New Roman" w:hAnsi="Times New Roman" w:cs="Times New Roman" w:eastAsia="楷体_GB2312" w:hint="eastAsia"/>
          <w:b w:val="0"/>
          <w:i w:val="0"/>
          <w:color w:val="222222"/>
          <w:sz w:val="28"/>
        </w:rPr>
        <w:t>（约 80％）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移交 NGA、其余移交新成立的 CDAO，2023 年 11 月 NGA Maven 成为正式采购项目。2024—2025 年 Palantir 成为主承包商，MSS 合同上限增至约 12.75 亿美元，北约完成 MSS NATO 采购。2026 年 Feinberg 备忘录要求 MSS 于 FY2026 末转为正式项目、管理权归 CDAO；对伊朗作战期间用户由约 5 万增至 10 万以上。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/>
          <w:i w:val="0"/>
          <w:color w:val="222222"/>
          <w:sz w:val="28"/>
        </w:rPr>
        <w:t>Maven 的管理归属先后经历 OUSD(I&amp;S）、NGA 与 CDAO 分治、CDAO 统管三个阶段，每次调整均伴随规模跃升。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截至 2026 年 10 月，MSS 是否按期完成正式项目转换，尚未见国防部官方确认。</w:t>
      </w:r>
    </w:p>
    <w:p>
      <w:pPr>
        <w:keepNext/>
        <w:pBdr>
          <w:bottom w:val="single" w:sz="6" w:space="4" w:color="12233B"/>
        </w:pBdr>
        <w:spacing w:before="360" w:after="160"/>
        <w:jc w:val="left"/>
        <w:outlineLvl w:val="0"/>
      </w:pPr>
      <w:bookmarkStart w:id="109" w:name="ch_4"/>
      <w:r>
        <w:rPr>
          <w:rFonts w:ascii="Times New Roman" w:hAnsi="Times New Roman" w:cs="Times New Roman" w:eastAsia="黑体" w:hint="eastAsia"/>
          <w:b/>
          <w:i w:val="0"/>
          <w:color w:val="A8842F"/>
          <w:sz w:val="34"/>
        </w:rPr>
        <w:t>四、</w:t>
      </w:r>
      <w:r>
        <w:rPr>
          <w:rFonts w:ascii="Times New Roman" w:hAnsi="Times New Roman" w:cs="Times New Roman" w:eastAsia="黑体" w:hint="eastAsia"/>
          <w:b/>
          <w:i w:val="0"/>
          <w:color w:val="12233B"/>
          <w:sz w:val="30"/>
        </w:rPr>
        <w:t>Lattice 架构与功能</w:t>
      </w:r>
      <w:bookmarkEnd w:id="109"/>
    </w:p>
    <w:p>
      <w:pPr>
        <w:pBdr>
          <w:left w:val="single" w:sz="24" w:space="8" w:color="A8842F"/>
        </w:pBdr>
        <w:shd w:val="clear" w:color="auto" w:fill="FFFFFF"/>
        <w:spacing w:line="480" w:lineRule="exact" w:before="120" w:after="240"/>
        <w:ind w:left="240" w:right="12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6"/>
        </w:rPr>
        <w:t>Lattice 的核心是一套“实体加任务”的军事化数据模型和一张可在拒止环境下运行的点对点网格：任何传感器或武器按公开接口接入即可进入杀伤链；在全部公开案例中，武器释放仍由人批准。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图4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将 Lattice 分为传感器与效应器、边缘计算与通信、Lattice Mesh、核心服务、API 与 SDK、应用六层。第④、⑤层依据官方 SDK 源码，属一手证据；第①—③层部分依据专利与公司材料推断。Lattice Mesh 专利写明“实时数据优先，回填只用剩余带宽”，普通节点密钥只存于内存。边缘硬件 Menace-T/X 基于收购的 Klas Voyager 坚固计算设备，一人数分钟即可架设，同时是 Palantir 边缘软件的首选硬件。SDK 于 2024-12-10 公开，定义生产者、消费者和可受领任务的代理三种接入模式，分别面向传感器厂商、应用开发者和无人平台/武器厂商。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38509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lattice_arc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850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00" w:lineRule="exact" w:before="0" w:after="40"/>
        <w:jc w:val="center"/>
      </w:pPr>
      <w:bookmarkStart w:id="110" w:name="fig_4"/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图</w: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begin"/>
      </w:r>
      <w:r>
        <w:rPr>
          <w:rFonts w:ascii="Times New Roman" w:hAnsi="Times New Roman" w:cs="Times New Roman" w:eastAsia="楷体_GB2312" w:hint="eastAsia"/>
          <w:sz w:val="24"/>
        </w:rPr>
        <w:instrText xml:space="preserve"> SEQ 图 \* ARABIC </w:instrTex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separate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4</w: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end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 xml:space="preserve">  Lattice 六层架构与部署形态示意</w:t>
      </w:r>
      <w:bookmarkEnd w:id="110"/>
    </w:p>
    <w:p>
      <w:pPr>
        <w:spacing w:line="360" w:lineRule="exact" w:before="0" w:after="200"/>
        <w:jc w:val="center"/>
      </w:pP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1"/>
        </w:rPr>
        <w:t>来源：本报告依据 Anduril SDK 源码、Lattice Mesh 专利与公开报道绘制；①—③层含推断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Lattice 以实体为中心构建共用作战图，航迹、己方资产、地理区域、信号均为实体。实体须设定不超过 30 天的过期时间；敌我属性采用与美军和北约基本一致的七值枚举；航迹质量分 0—15 级；每个实体可逐字段标注密级。任务生命周期共 14 种状态，沿用战术通信的确认语义；资产在“能力目录”中自报可执行任务，新平台接入后即可被调度。陆军 IBCS-M 试验中数小时内接入此前未公开的传感器和效应器，即是这一机制的体现。SDK 许可禁止构建不兼容的实现，</w:t>
      </w:r>
      <w:r>
        <w:rPr>
          <w:rFonts w:ascii="Times New Roman" w:hAnsi="Times New Roman" w:cs="Times New Roman" w:eastAsia="仿宋_GB2312" w:hint="eastAsia"/>
          <w:b/>
          <w:i w:val="0"/>
          <w:color w:val="222222"/>
          <w:sz w:val="28"/>
        </w:rPr>
        <w:t>政府获得的是使用权和接口，并无政府所有的参考实现。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公开交战案例中开火决定均由人作出。陆战队称 Anvil 可自主跟踪，但只在操作员下令后拦截；EDGE23 演习中由人授权打击，再由软件自动改派侦察进行毁伤评估。据此推断，机动、感知和资源调度为“人在回路上”，武器释放为“人在回路中”。交战规则配置、DoDD 3000.09 落实方式、授权运行等级和 IL5/IL6 认证均未见公开信息，</w:t>
      </w:r>
      <w:r>
        <w:rPr>
          <w:rFonts w:ascii="Times New Roman" w:hAnsi="Times New Roman" w:cs="Times New Roman" w:eastAsia="仿宋_GB2312" w:hint="eastAsia"/>
          <w:b/>
          <w:i w:val="0"/>
          <w:color w:val="222222"/>
          <w:sz w:val="28"/>
        </w:rPr>
        <w:t>这是 Lattice 最大的公开信息空白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。</w:t>
      </w:r>
    </w:p>
    <w:p>
      <w:pPr>
        <w:keepNext/>
        <w:pBdr>
          <w:bottom w:val="single" w:sz="6" w:space="4" w:color="12233B"/>
        </w:pBdr>
        <w:spacing w:before="360" w:after="160"/>
        <w:jc w:val="left"/>
        <w:outlineLvl w:val="0"/>
      </w:pPr>
      <w:bookmarkStart w:id="111" w:name="ch_5"/>
      <w:r>
        <w:rPr>
          <w:rFonts w:ascii="Times New Roman" w:hAnsi="Times New Roman" w:cs="Times New Roman" w:eastAsia="黑体" w:hint="eastAsia"/>
          <w:b/>
          <w:i w:val="0"/>
          <w:color w:val="A8842F"/>
          <w:sz w:val="34"/>
        </w:rPr>
        <w:t>五、</w:t>
      </w:r>
      <w:r>
        <w:rPr>
          <w:rFonts w:ascii="Times New Roman" w:hAnsi="Times New Roman" w:cs="Times New Roman" w:eastAsia="黑体" w:hint="eastAsia"/>
          <w:b/>
          <w:i w:val="0"/>
          <w:color w:val="12233B"/>
          <w:sz w:val="30"/>
        </w:rPr>
        <w:t>Maven 架构与功能</w:t>
      </w:r>
      <w:bookmarkEnd w:id="111"/>
    </w:p>
    <w:p>
      <w:pPr>
        <w:pBdr>
          <w:left w:val="single" w:sz="24" w:space="8" w:color="A8842F"/>
        </w:pBdr>
        <w:shd w:val="clear" w:color="auto" w:fill="FFFFFF"/>
        <w:spacing w:line="480" w:lineRule="exact" w:before="120" w:after="240"/>
        <w:ind w:left="240" w:right="12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6"/>
        </w:rPr>
        <w:t>MSS 的架构可概括为“Palantir 平台加可插拔的模型与数据”：政府</w:t>
      </w:r>
      <w:r>
        <w:rPr>
          <w:rFonts w:ascii="Times New Roman" w:hAnsi="Times New Roman" w:cs="Times New Roman" w:eastAsia="楷体_GB2312" w:hint="eastAsia"/>
          <w:b w:val="0"/>
          <w:i w:val="0"/>
          <w:color w:val="222222"/>
          <w:sz w:val="26"/>
        </w:rPr>
        <w:t>（NGA）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6"/>
        </w:rPr>
        <w:t>掌握模型流水线，Palantir 掌握数据本体与工作流，第三方计算机视觉模型和大模型均可替换。MSS 压缩的是人工寻找目标、排序目标和比选资产的时间，武器飞行和毁伤所需时间不受影响。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图5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为我部依据公开资料归纳的七层架构，并非官方架构文件。数据源层接入卫星、商业 SAR、信号情报和无人机视频，中央司令部 2024 年的部署共接入 179 个数据源。模型流水线由 NGA 负责，数据标注合同为 Enabled Intelligence 的 SEQUOIA，上限 7.08 亿美元。Palantir 平台以本体将数据映射为对象和“动作”，可把决策写回业务系统和边缘系统。MSS 跨 3 个安全域运行，北约版运行于北约涉密网。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39455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maven_arc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945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00" w:lineRule="exact" w:before="0" w:after="40"/>
        <w:jc w:val="center"/>
      </w:pPr>
      <w:bookmarkStart w:id="112" w:name="fig_5"/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图</w: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begin"/>
      </w:r>
      <w:r>
        <w:rPr>
          <w:rFonts w:ascii="Times New Roman" w:hAnsi="Times New Roman" w:cs="Times New Roman" w:eastAsia="楷体_GB2312" w:hint="eastAsia"/>
          <w:sz w:val="24"/>
        </w:rPr>
        <w:instrText xml:space="preserve"> SEQ 图 \* ARABIC </w:instrTex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separate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5</w: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end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 xml:space="preserve">  Maven / MSS 七层架构</w:t>
      </w:r>
      <w:bookmarkEnd w:id="112"/>
    </w:p>
    <w:p>
      <w:pPr>
        <w:spacing w:line="360" w:lineRule="exact" w:before="0" w:after="200"/>
        <w:jc w:val="center"/>
      </w:pP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1"/>
        </w:rPr>
        <w:t>来源：本报告依据 Palantir 官方文档、NGA 合同公告、CSIS、DefenseScoop、SHAPE 等资料整理绘制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“模型归政府、平台归企业”的安排使政府对训练数据和模型评估保有控制权，代价是两条线之间需要稳定接口和跨机构协调。NGA 在 AI 生成的 GEOINT 产品上加注“机器生成”标签，是目前为数不多的制度化治理措施。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Target Workbench 是 MSS 最具代表性的模块。界面按看板组织，各列对应目标定位流程阶段，并集成禁打清单；操作员选中 AI 检测出的目标，按到达时间、距离、燃油等约束比较打击资产，下令后再用 ISR 跟踪效果。自动化重心在发现、定位和排序；射击诸元仍由 AFATDS 等存量系统解算。看板把多级会议式流程改为可视、并行流程，这是效率数字背后的机制，也使单个目标获得的人工关注减少。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大模型层可以替换，主要用于检索、摘要、排序和草拟。北约称 MSS NATO 包含大语言模型和生成式 AI。美军 MSS 中大模型的作用，各方报道分歧较大：有报道称内嵌 Claude 的 MSS 在伊朗作战中为目标排序并建议武器，也有报道称其主要用于将情报报告转为通俗语言；2026 年 3 月 Anthropic 被列为供应链风险后，其去留说法相互矛盾。伊朗战事期间按 token 计的日峰值增长 4,425％，最高约 200 亿 token/天。</w:t>
      </w:r>
    </w:p>
    <w:p>
      <w:pPr>
        <w:keepNext/>
        <w:pBdr>
          <w:bottom w:val="single" w:sz="6" w:space="4" w:color="12233B"/>
        </w:pBdr>
        <w:spacing w:before="360" w:after="160"/>
        <w:jc w:val="left"/>
        <w:outlineLvl w:val="0"/>
      </w:pPr>
      <w:bookmarkStart w:id="113" w:name="ch_6"/>
      <w:r>
        <w:rPr>
          <w:rFonts w:ascii="Times New Roman" w:hAnsi="Times New Roman" w:cs="Times New Roman" w:eastAsia="黑体" w:hint="eastAsia"/>
          <w:b/>
          <w:i w:val="0"/>
          <w:color w:val="A8842F"/>
          <w:sz w:val="34"/>
        </w:rPr>
        <w:t>六、</w:t>
      </w:r>
      <w:r>
        <w:rPr>
          <w:rFonts w:ascii="Times New Roman" w:hAnsi="Times New Roman" w:cs="Times New Roman" w:eastAsia="黑体" w:hint="eastAsia"/>
          <w:b/>
          <w:i w:val="0"/>
          <w:color w:val="12233B"/>
          <w:sz w:val="30"/>
        </w:rPr>
        <w:t>能力评估</w:t>
      </w:r>
      <w:bookmarkEnd w:id="113"/>
    </w:p>
    <w:p>
      <w:pPr>
        <w:pBdr>
          <w:left w:val="single" w:sz="24" w:space="8" w:color="A8842F"/>
        </w:pBdr>
        <w:shd w:val="clear" w:color="auto" w:fill="FFFFFF"/>
        <w:spacing w:line="480" w:lineRule="exact" w:before="120" w:after="240"/>
        <w:ind w:left="240" w:right="12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6"/>
        </w:rPr>
        <w:t>两系统获多源证实的都是系统级价值，即 MSS 的多源融合与目标吞吐、Lattice 的快速集成与数据层地位；仍属声称的都是效能级数字；疑点集中在识别准确率、拒止环境韧性和网络安全。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我部将证据分为三级：已证实，包括政府合同、官方公告、独立媒体报道和官方 SDK 源码；官方或公司声称，包括新闻稿、高管表态和仅有单方来源的演习与战役数据；存疑或有反证，包括口径冲突、弱源说法以及失败和事故记录。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图6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按九个能力项列出两系统的证据等级。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31769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capmatrix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17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00" w:lineRule="exact" w:before="0" w:after="40"/>
        <w:jc w:val="center"/>
      </w:pPr>
      <w:bookmarkStart w:id="114" w:name="fig_6"/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图</w: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begin"/>
      </w:r>
      <w:r>
        <w:rPr>
          <w:rFonts w:ascii="Times New Roman" w:hAnsi="Times New Roman" w:cs="Times New Roman" w:eastAsia="楷体_GB2312" w:hint="eastAsia"/>
          <w:sz w:val="24"/>
        </w:rPr>
        <w:instrText xml:space="preserve"> SEQ 图 \* ARABIC </w:instrTex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separate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6</w: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end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 xml:space="preserve">  两系统能力证据矩阵</w:t>
      </w:r>
      <w:bookmarkEnd w:id="114"/>
    </w:p>
    <w:p>
      <w:pPr>
        <w:spacing w:line="360" w:lineRule="exact" w:before="0" w:after="200"/>
        <w:jc w:val="center"/>
      </w:pP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1"/>
        </w:rPr>
        <w:t>来源：本报告依据公开资料评定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MSS 已证实的是省人提速：XVIII 空降军约 20 人的目标单元达到 2003 年 2,000 多人单元的效能，一名目标官每小时签批目标由约 30 个增至约 80 个。2024 年 2 月，MSS 参与对伊拉克、叙利亚 85 次以上打击的目标筛选，用户在 16 个月内增长约 5 倍。官方称伊朗战役 38 天打击约 13,000 个目标，但这是打击总量，并非 Maven 识别量。存疑之处在精度：测试识别正确率约 60％，人类约 84％，2026 年版本无公开数据；Minab 学校遇袭事件暴露出“过期数据加自动化偏差加人工审查缩减”的失败链条。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Lattice 的硬证据是采购选择：SOCOM、陆战队、陆军、CDAO、太空军、CBP 和北约均经竞争或评估选择了它，IBCS-M 尤马 7 天试验中数小时内接入新传感器与效应器，实弹拦截 4 中 4。“火力时间线缩短 90％”、Ivy Sting 5 连接 65 个以上边缘节点并在卫星通信失效时继续工作等效能数字，均为公司口径。反证包括：乌克兰 Ghost 受干扰严重、ALTIUS 于 2024 年停用，海军演习中十余艘由 Lattice C2 控制的无人艇失灵，陆军 CTO 将 NGC2 原型评为“极高风险”。</w:t>
      </w:r>
    </w:p>
    <w:p>
      <w:pPr>
        <w:keepNext/>
        <w:spacing w:line="400" w:lineRule="exact" w:before="160" w:after="80"/>
        <w:jc w:val="center"/>
      </w:pPr>
      <w:bookmarkStart w:id="115" w:name="tab_2"/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表</w: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begin"/>
      </w:r>
      <w:r>
        <w:rPr>
          <w:rFonts w:ascii="Times New Roman" w:hAnsi="Times New Roman" w:cs="Times New Roman" w:eastAsia="楷体_GB2312" w:hint="eastAsia"/>
          <w:sz w:val="24"/>
        </w:rPr>
        <w:instrText xml:space="preserve"> SEQ 表 \* ARABIC </w:instrTex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separate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2</w: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end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 xml:space="preserve">  关键性能数字与口径</w:t>
      </w:r>
      <w:bookmarkEnd w:id="115"/>
    </w:p>
    <w:tbl>
      <w:tblPr>
        <w:tblW w:w="9072" w:type="dxa"/>
        <w:jc w:val="center"/>
        <w:tblBorders>
          <w:top w:val="single" w:sz="8" w:space="0" w:color="12233B"/>
          <w:left w:val="single" w:sz="4" w:space="0" w:color="C9C2B0"/>
          <w:bottom w:val="single" w:sz="8" w:space="0" w:color="12233B"/>
          <w:right w:val="single" w:sz="4" w:space="0" w:color="C9C2B0"/>
          <w:insideH w:val="single" w:sz="4" w:space="0" w:color="C9C2B0"/>
          <w:insideV w:val="single" w:sz="4" w:space="0" w:color="C9C2B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firstColumn="1" w:firstRow="1" w:lastColumn="0" w:lastRow="0" w:noHBand="0" w:noVBand="1" w:val="04A0"/>
      </w:tblPr>
      <w:tblGrid>
        <w:gridCol w:w="1701"/>
        <w:gridCol w:w="907"/>
        <w:gridCol w:w="3288"/>
        <w:gridCol w:w="3175"/>
      </w:tblGrid>
      <w:tr>
        <w:trPr>
          <w:cantSplit/>
          <w:tblHeader/>
        </w:trPr>
        <w:tc>
          <w:tcPr>
            <w:tcW w:w="1701" w:type="dxa"/>
            <w:shd w:val="clear" w:color="auto" w:fill="EFEBDF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12233B"/>
                <w:sz w:val="19"/>
              </w:rPr>
              <w:t>指标</w:t>
            </w:r>
          </w:p>
        </w:tc>
        <w:tc>
          <w:tcPr>
            <w:tcW w:w="907" w:type="dxa"/>
            <w:shd w:val="clear" w:color="auto" w:fill="EFEBDF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12233B"/>
                <w:sz w:val="19"/>
              </w:rPr>
              <w:t>系统</w:t>
            </w:r>
          </w:p>
        </w:tc>
        <w:tc>
          <w:tcPr>
            <w:tcW w:w="3288" w:type="dxa"/>
            <w:shd w:val="clear" w:color="auto" w:fill="EFEBDF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12233B"/>
                <w:sz w:val="19"/>
              </w:rPr>
              <w:t>数值</w:t>
            </w:r>
          </w:p>
        </w:tc>
        <w:tc>
          <w:tcPr>
            <w:tcW w:w="3175" w:type="dxa"/>
            <w:shd w:val="clear" w:color="auto" w:fill="EFEBDF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12233B"/>
                <w:sz w:val="19"/>
              </w:rPr>
              <w:t>口径与证据性质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目标签批吞吐</w:t>
            </w:r>
          </w:p>
        </w:tc>
        <w:tc>
          <w:tcPr>
            <w:tcW w:w="90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MSS</w:t>
            </w:r>
          </w:p>
        </w:tc>
        <w:tc>
          <w:tcPr>
            <w:tcW w:w="3288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每小时约 30 个 → 约 80 个</w:t>
            </w:r>
          </w:p>
        </w:tc>
        <w:tc>
          <w:tcPr>
            <w:tcW w:w="3175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一名目标官个人估计，仅为审批环节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目标单元人力</w:t>
            </w:r>
          </w:p>
        </w:tc>
        <w:tc>
          <w:tcPr>
            <w:tcW w:w="90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MSS</w:t>
            </w:r>
          </w:p>
        </w:tc>
        <w:tc>
          <w:tcPr>
            <w:tcW w:w="3288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约 20 人 ≈ 2003 年 2,000 多人单元</w:t>
            </w:r>
          </w:p>
        </w:tc>
        <w:tc>
          <w:tcPr>
            <w:tcW w:w="3175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演习对比，条件不同，属数量级示意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识别正确率</w:t>
            </w:r>
          </w:p>
        </w:tc>
        <w:tc>
          <w:tcPr>
            <w:tcW w:w="90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MSS</w:t>
            </w:r>
          </w:p>
        </w:tc>
        <w:tc>
          <w:tcPr>
            <w:tcW w:w="3288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约 60％（人类约 84％），恶劣条件低于 30％</w:t>
            </w:r>
          </w:p>
        </w:tc>
        <w:tc>
          <w:tcPr>
            <w:tcW w:w="3175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2023—2024 年测试；2026 版无公开数据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战役总量</w:t>
            </w:r>
          </w:p>
        </w:tc>
        <w:tc>
          <w:tcPr>
            <w:tcW w:w="90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MSS</w:t>
            </w:r>
          </w:p>
        </w:tc>
        <w:tc>
          <w:tcPr>
            <w:tcW w:w="3288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38 天打击约 13,000 个目标</w:t>
            </w:r>
          </w:p>
        </w:tc>
        <w:tc>
          <w:tcPr>
            <w:tcW w:w="3175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官方总量，非 Maven 识别量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用户规模</w:t>
            </w:r>
          </w:p>
        </w:tc>
        <w:tc>
          <w:tcPr>
            <w:tcW w:w="90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MSS</w:t>
            </w:r>
          </w:p>
        </w:tc>
        <w:tc>
          <w:tcPr>
            <w:tcW w:w="3288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 万以上（2025-05）→ 10 万以上（2026-09）</w:t>
            </w:r>
          </w:p>
        </w:tc>
        <w:tc>
          <w:tcPr>
            <w:tcW w:w="3175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官员口径；注册与活跃口径不一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反无人机实弹</w:t>
            </w:r>
          </w:p>
        </w:tc>
        <w:tc>
          <w:tcPr>
            <w:tcW w:w="90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Lattice</w:t>
            </w:r>
          </w:p>
        </w:tc>
        <w:tc>
          <w:tcPr>
            <w:tcW w:w="3288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IBCS-M 尤马试验拦截 4 中 4</w:t>
            </w:r>
          </w:p>
        </w:tc>
        <w:tc>
          <w:tcPr>
            <w:tcW w:w="3175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官方公告；测试条件未披露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火力时间线与网格</w:t>
            </w:r>
          </w:p>
        </w:tc>
        <w:tc>
          <w:tcPr>
            <w:tcW w:w="90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Lattice</w:t>
            </w:r>
          </w:p>
        </w:tc>
        <w:tc>
          <w:tcPr>
            <w:tcW w:w="3288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缩短 90％；2,500 余台终端；65 个以上节点</w:t>
            </w:r>
          </w:p>
        </w:tc>
        <w:tc>
          <w:tcPr>
            <w:tcW w:w="3175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公司口径</w:t>
            </w:r>
          </w:p>
        </w:tc>
      </w:tr>
    </w:tbl>
    <w:p>
      <w:pPr>
        <w:spacing w:line="360" w:lineRule="exact" w:before="40" w:after="200"/>
        <w:jc w:val="left"/>
      </w:pP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1"/>
        </w:rPr>
        <w:t>来源：本报告依据完整版第一、二、六章整理；“公司/官方口径”指无独立审计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/>
          <w:i w:val="0"/>
          <w:color w:val="222222"/>
          <w:sz w:val="28"/>
        </w:rPr>
        <w:t>两系统的共同特征是扩张先于独立评估。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我部未检索到 GAO 或国防部监察长针对 MSS 或 NGC2 的独立评估。对“缩短 90％”“13,000 个目标”一类数字，应先核实统计对象、发布方以及有无独立审计。</w:t>
      </w:r>
    </w:p>
    <w:p>
      <w:pPr>
        <w:keepNext/>
        <w:pBdr>
          <w:bottom w:val="single" w:sz="6" w:space="4" w:color="12233B"/>
        </w:pBdr>
        <w:spacing w:before="360" w:after="160"/>
        <w:jc w:val="left"/>
        <w:outlineLvl w:val="0"/>
      </w:pPr>
      <w:bookmarkStart w:id="116" w:name="ch_7"/>
      <w:r>
        <w:rPr>
          <w:rFonts w:ascii="Times New Roman" w:hAnsi="Times New Roman" w:cs="Times New Roman" w:eastAsia="黑体" w:hint="eastAsia"/>
          <w:b/>
          <w:i w:val="0"/>
          <w:color w:val="A8842F"/>
          <w:sz w:val="34"/>
        </w:rPr>
        <w:t>七、</w:t>
      </w:r>
      <w:r>
        <w:rPr>
          <w:rFonts w:ascii="Times New Roman" w:hAnsi="Times New Roman" w:cs="Times New Roman" w:eastAsia="黑体" w:hint="eastAsia"/>
          <w:b/>
          <w:i w:val="0"/>
          <w:color w:val="12233B"/>
          <w:sz w:val="30"/>
        </w:rPr>
        <w:t>合作分工与集成</w:t>
      </w:r>
      <w:bookmarkEnd w:id="116"/>
    </w:p>
    <w:p>
      <w:pPr>
        <w:pBdr>
          <w:left w:val="single" w:sz="24" w:space="8" w:color="A8842F"/>
        </w:pBdr>
        <w:shd w:val="clear" w:color="auto" w:fill="FFFFFF"/>
        <w:spacing w:line="480" w:lineRule="exact" w:before="120" w:after="240"/>
        <w:ind w:left="240" w:right="12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6"/>
        </w:rPr>
        <w:t>Anduril 与 Palantir 的关系可概括为“项目制组队加分别锁定”：在五个指挥层级上形成“边缘与执行归 Anduril、企业与决策归 Palantir”的稳定分工，陆军 NGC2 是集成最深之处；由谁担任主承包商，取决于项目重心在边缘还是在企业。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Anduril 联合创始人中有三人出自 Palantir。2024-12-06 的合作公告给出两条机制：Lattice 与 Menace 对战术边缘“仪表化”，由 Palantir AIP 整理为可训练 AI 的数据；MSS 与 Lattice 结合，提供“从边缘到企业”的作战能力。Inside Defense 将两者分别概括为“企业级任务指挥平台”和“直接集成机器人系统的边缘任务自主平台”。同月报道的多公司投标财团未见成立证据；合作实际以项目制团队形式出现，如 NGC2 的 Team Anduril、金穹 C2 产业联盟，以及主从角色互换的 TITAN 地面站</w:t>
      </w:r>
      <w:r>
        <w:rPr>
          <w:rFonts w:ascii="Times New Roman" w:hAnsi="Times New Roman" w:cs="Times New Roman" w:eastAsia="楷体_GB2312" w:hint="eastAsia"/>
          <w:b w:val="0"/>
          <w:i w:val="0"/>
          <w:color w:val="222222"/>
          <w:sz w:val="28"/>
        </w:rPr>
        <w:t>（Palantir 主承 1.27 亿美元、Anduril 分得 6,500 万美元）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37366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divis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736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00" w:lineRule="exact" w:before="0" w:after="40"/>
        <w:jc w:val="center"/>
      </w:pPr>
      <w:bookmarkStart w:id="117" w:name="fig_7"/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图</w: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begin"/>
      </w:r>
      <w:r>
        <w:rPr>
          <w:rFonts w:ascii="Times New Roman" w:hAnsi="Times New Roman" w:cs="Times New Roman" w:eastAsia="楷体_GB2312" w:hint="eastAsia"/>
          <w:sz w:val="24"/>
        </w:rPr>
        <w:instrText xml:space="preserve"> SEQ 图 \* ARABIC </w:instrTex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separate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7</w: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end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 xml:space="preserve">  Palantir（企业与决策）—Anduril（边缘与执行）分层分工</w:t>
      </w:r>
      <w:bookmarkEnd w:id="117"/>
    </w:p>
    <w:p>
      <w:pPr>
        <w:spacing w:line="360" w:lineRule="exact" w:before="0" w:after="200"/>
        <w:jc w:val="center"/>
      </w:pP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1"/>
        </w:rPr>
        <w:t>来源：本报告依据 2024-12 合作公告、NGC2 基线及各项目公开资料绘制</w:t>
      </w:r>
    </w:p>
    <w:p>
      <w:pPr>
        <w:keepNext/>
        <w:spacing w:line="400" w:lineRule="exact" w:before="160" w:after="80"/>
        <w:jc w:val="center"/>
      </w:pPr>
      <w:bookmarkStart w:id="118" w:name="tab_3"/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表</w: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begin"/>
      </w:r>
      <w:r>
        <w:rPr>
          <w:rFonts w:ascii="Times New Roman" w:hAnsi="Times New Roman" w:cs="Times New Roman" w:eastAsia="楷体_GB2312" w:hint="eastAsia"/>
          <w:sz w:val="24"/>
        </w:rPr>
        <w:instrText xml:space="preserve"> SEQ 表 \* ARABIC </w:instrTex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separate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3</w: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end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 xml:space="preserve">  两家分层角色与交汇证据</w:t>
      </w:r>
      <w:bookmarkEnd w:id="118"/>
    </w:p>
    <w:tbl>
      <w:tblPr>
        <w:tblW w:w="9072" w:type="dxa"/>
        <w:jc w:val="center"/>
        <w:tblBorders>
          <w:top w:val="single" w:sz="8" w:space="0" w:color="12233B"/>
          <w:left w:val="single" w:sz="4" w:space="0" w:color="C9C2B0"/>
          <w:bottom w:val="single" w:sz="8" w:space="0" w:color="12233B"/>
          <w:right w:val="single" w:sz="4" w:space="0" w:color="C9C2B0"/>
          <w:insideH w:val="single" w:sz="4" w:space="0" w:color="C9C2B0"/>
          <w:insideV w:val="single" w:sz="4" w:space="0" w:color="C9C2B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firstColumn="1" w:firstRow="1" w:lastColumn="0" w:lastRow="0" w:noHBand="0" w:noVBand="1" w:val="04A0"/>
      </w:tblPr>
      <w:tblGrid>
        <w:gridCol w:w="1474"/>
        <w:gridCol w:w="2608"/>
        <w:gridCol w:w="2608"/>
        <w:gridCol w:w="2381"/>
      </w:tblGrid>
      <w:tr>
        <w:trPr>
          <w:cantSplit/>
          <w:tblHeader/>
        </w:trPr>
        <w:tc>
          <w:tcPr>
            <w:tcW w:w="1474" w:type="dxa"/>
            <w:shd w:val="clear" w:color="auto" w:fill="EFEBDF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12233B"/>
                <w:sz w:val="19"/>
              </w:rPr>
              <w:t>层级</w:t>
            </w:r>
          </w:p>
        </w:tc>
        <w:tc>
          <w:tcPr>
            <w:tcW w:w="2608" w:type="dxa"/>
            <w:shd w:val="clear" w:color="auto" w:fill="EFEBDF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12233B"/>
                <w:sz w:val="19"/>
              </w:rPr>
              <w:t>Palantir</w:t>
            </w:r>
          </w:p>
        </w:tc>
        <w:tc>
          <w:tcPr>
            <w:tcW w:w="2608" w:type="dxa"/>
            <w:shd w:val="clear" w:color="auto" w:fill="EFEBDF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12233B"/>
                <w:sz w:val="19"/>
              </w:rPr>
              <w:t>Anduril</w:t>
            </w:r>
          </w:p>
        </w:tc>
        <w:tc>
          <w:tcPr>
            <w:tcW w:w="2381" w:type="dxa"/>
            <w:shd w:val="clear" w:color="auto" w:fill="EFEBDF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12233B"/>
                <w:sz w:val="19"/>
              </w:rPr>
              <w:t>交汇证据</w:t>
            </w:r>
          </w:p>
        </w:tc>
      </w:tr>
      <w:tr>
        <w:trPr>
          <w:cantSplit/>
        </w:trPr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国家/联合层</w:t>
            </w:r>
          </w:p>
        </w:tc>
        <w:tc>
          <w:tcPr>
            <w:tcW w:w="2608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MSS 为 CJADC2 事实骨干；MSS NATO</w:t>
            </w:r>
          </w:p>
        </w:tc>
        <w:tc>
          <w:tcPr>
            <w:tcW w:w="2608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Thunderforge 数据共享层</w:t>
            </w:r>
          </w:p>
        </w:tc>
        <w:tc>
          <w:tcPr>
            <w:tcW w:w="238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CDAO 同时持有两系统合同</w:t>
            </w:r>
          </w:p>
        </w:tc>
      </w:tr>
      <w:tr>
        <w:trPr>
          <w:cantSplit/>
        </w:trPr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战区/军种企业层</w:t>
            </w:r>
          </w:p>
        </w:tc>
        <w:tc>
          <w:tcPr>
            <w:tcW w:w="2608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Vantage、DCGS-A、陆军企业协议</w:t>
            </w:r>
          </w:p>
        </w:tc>
        <w:tc>
          <w:tcPr>
            <w:tcW w:w="2608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金穹 C2 联盟；天基拦截器原型</w:t>
            </w:r>
          </w:p>
        </w:tc>
        <w:tc>
          <w:tcPr>
            <w:tcW w:w="238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金穹 C2“胶水层”共同开发（报道）</w:t>
            </w:r>
          </w:p>
        </w:tc>
      </w:tr>
      <w:tr>
        <w:trPr>
          <w:cantSplit/>
        </w:trPr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军/师级指挥层</w:t>
            </w:r>
          </w:p>
        </w:tc>
        <w:tc>
          <w:tcPr>
            <w:tcW w:w="2608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Foundry、Target Workbench</w:t>
            </w:r>
          </w:p>
        </w:tc>
        <w:tc>
          <w:tcPr>
            <w:tcW w:w="2608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Lattice Mesh、AXS、Menace</w:t>
            </w:r>
          </w:p>
        </w:tc>
        <w:tc>
          <w:tcPr>
            <w:tcW w:w="238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NGC2 基线“Lattice + Foundry”</w:t>
            </w:r>
          </w:p>
        </w:tc>
      </w:tr>
      <w:tr>
        <w:trPr>
          <w:cantSplit/>
        </w:trPr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旅/营/连战术层</w:t>
            </w:r>
          </w:p>
        </w:tc>
        <w:tc>
          <w:tcPr>
            <w:tcW w:w="2608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MSS 向陆战队下延</w:t>
            </w:r>
          </w:p>
        </w:tc>
        <w:tc>
          <w:tcPr>
            <w:tcW w:w="2608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JIATF-401、I-CsUAS、IBCS-M</w:t>
            </w:r>
          </w:p>
        </w:tc>
        <w:tc>
          <w:tcPr>
            <w:tcW w:w="238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未见直接集成证据</w:t>
            </w:r>
          </w:p>
        </w:tc>
      </w:tr>
      <w:tr>
        <w:trPr>
          <w:cantSplit/>
        </w:trPr>
        <w:tc>
          <w:tcPr>
            <w:tcW w:w="147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边缘平台层</w:t>
            </w:r>
          </w:p>
        </w:tc>
        <w:tc>
          <w:tcPr>
            <w:tcW w:w="2608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边缘软件、嵌入式本体</w:t>
            </w:r>
          </w:p>
        </w:tc>
        <w:tc>
          <w:tcPr>
            <w:tcW w:w="2608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Sentry、Anvil、Fury、Ghost Shark；LMA</w:t>
            </w:r>
          </w:p>
        </w:tc>
        <w:tc>
          <w:tcPr>
            <w:tcW w:w="238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Menace 为 Palantir 边缘首选硬件</w:t>
            </w:r>
          </w:p>
        </w:tc>
      </w:tr>
    </w:tbl>
    <w:p>
      <w:pPr>
        <w:spacing w:line="360" w:lineRule="exact" w:before="40" w:after="200"/>
        <w:jc w:val="left"/>
      </w:pP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1"/>
        </w:rPr>
        <w:t>来源：本报告依据完整版第四章整理；“报道”指匿名或单一来源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指挥流自上而下：MSS 完成目标发现、排序和交战分配，经 C2 数据层下发至 Lattice 边缘执行。数据流自下而上：边缘数据经 Lattice Mesh 回流至 AIP/Foundry 用于再训练。2024 年合作公告的重点是后者，即通过对边缘仪表化解决数据就绪问题。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2025-07-18，陆军授予 Anduril 9,960 万美元 NGC2 原型 OTA，Palantir 为团队成员。2025 年 9 月 Ivy Sting 1 实弹演习中，第 4 步兵师目标处理流程运行在 Lattice Mesh 和 Target Workbench 上。同月陆军 CTO 备忘录将原型评为“极高风险”，陆军随后称缺陷已缓解。2026-06-22，陆军将“Lattice</w:t>
      </w:r>
      <w:r>
        <w:rPr>
          <w:rFonts w:ascii="Times New Roman" w:hAnsi="Times New Roman" w:cs="Times New Roman" w:eastAsia="楷体_GB2312" w:hint="eastAsia"/>
          <w:b w:val="0"/>
          <w:i w:val="0"/>
          <w:color w:val="222222"/>
          <w:sz w:val="28"/>
        </w:rPr>
        <w:t>（边缘）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+ Foundry</w:t>
      </w:r>
      <w:r>
        <w:rPr>
          <w:rFonts w:ascii="Times New Roman" w:hAnsi="Times New Roman" w:cs="Times New Roman" w:eastAsia="楷体_GB2312" w:hint="eastAsia"/>
          <w:b w:val="0"/>
          <w:i w:val="0"/>
          <w:color w:val="222222"/>
          <w:sz w:val="28"/>
        </w:rPr>
        <w:t>（云）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”定为通用数据层基线，由 Raft 负责注册与联邦；10 月以 5 年期、上限 18 亿美元合同推向第 I 军，目标覆盖全部 11 个师。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324788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ngc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47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00" w:lineRule="exact" w:before="0" w:after="40"/>
        <w:jc w:val="center"/>
      </w:pPr>
      <w:bookmarkStart w:id="119" w:name="fig_8"/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图</w: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begin"/>
      </w:r>
      <w:r>
        <w:rPr>
          <w:rFonts w:ascii="Times New Roman" w:hAnsi="Times New Roman" w:cs="Times New Roman" w:eastAsia="楷体_GB2312" w:hint="eastAsia"/>
          <w:sz w:val="24"/>
        </w:rPr>
        <w:instrText xml:space="preserve"> SEQ 图 \* ARABIC </w:instrTex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separate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8</w: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end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 xml:space="preserve">  陆军 NGC2 三层架构与里程碑</w:t>
      </w:r>
      <w:bookmarkEnd w:id="119"/>
    </w:p>
    <w:p>
      <w:pPr>
        <w:spacing w:line="360" w:lineRule="exact" w:before="0" w:after="200"/>
        <w:jc w:val="center"/>
      </w:pP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1"/>
        </w:rPr>
        <w:t>来源：本报告依据陆军、DefenseScoop、Breaking Defense 及 Anduril 公开资料绘制；成员职能部分为示意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/>
          <w:i w:val="0"/>
          <w:color w:val="222222"/>
          <w:sz w:val="28"/>
        </w:rPr>
        <w:t>我部研判，NGC2 已将两家分工固化为全军基线。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陆军强调避免厂商锁定，实际是吸纳竞争者：Raft 转为伙伴，洛克希德·马丁转为第 25 步兵师实施方。实体与本体如何映射、MSS 是否进入 NGC2，均无公开文件说明。</w:t>
      </w:r>
    </w:p>
    <w:p>
      <w:pPr>
        <w:keepNext/>
        <w:pBdr>
          <w:bottom w:val="single" w:sz="6" w:space="4" w:color="12233B"/>
        </w:pBdr>
        <w:spacing w:before="360" w:after="160"/>
        <w:jc w:val="left"/>
        <w:outlineLvl w:val="0"/>
      </w:pPr>
      <w:bookmarkStart w:id="120" w:name="ch_8"/>
      <w:r>
        <w:rPr>
          <w:rFonts w:ascii="Times New Roman" w:hAnsi="Times New Roman" w:cs="Times New Roman" w:eastAsia="黑体" w:hint="eastAsia"/>
          <w:b/>
          <w:i w:val="0"/>
          <w:color w:val="A8842F"/>
          <w:sz w:val="34"/>
        </w:rPr>
        <w:t>八、</w:t>
      </w:r>
      <w:r>
        <w:rPr>
          <w:rFonts w:ascii="Times New Roman" w:hAnsi="Times New Roman" w:cs="Times New Roman" w:eastAsia="黑体" w:hint="eastAsia"/>
          <w:b/>
          <w:i w:val="0"/>
          <w:color w:val="12233B"/>
          <w:sz w:val="30"/>
        </w:rPr>
        <w:t>国家层面布局</w:t>
      </w:r>
      <w:bookmarkEnd w:id="120"/>
    </w:p>
    <w:p>
      <w:pPr>
        <w:pBdr>
          <w:left w:val="single" w:sz="24" w:space="8" w:color="A8842F"/>
        </w:pBdr>
        <w:shd w:val="clear" w:color="auto" w:fill="FFFFFF"/>
        <w:spacing w:line="480" w:lineRule="exact" w:before="120" w:after="240"/>
        <w:ind w:left="240" w:right="12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6"/>
        </w:rPr>
        <w:t>2023—2026 年，美国无人/AI 作战布局沿规模化无人系统、AI 指挥控制、采办体制改革三条主线推进。MSS 处于 AI 指挥控制主线并拥有独立预算线，Lattice 处于规模化无人系统主线并随项目增长，两者在军种 C2 数据层这一中间层交汇。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39770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nation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97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00" w:lineRule="exact" w:before="0" w:after="40"/>
        <w:jc w:val="center"/>
      </w:pPr>
      <w:bookmarkStart w:id="121" w:name="fig_9"/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图</w: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begin"/>
      </w:r>
      <w:r>
        <w:rPr>
          <w:rFonts w:ascii="Times New Roman" w:hAnsi="Times New Roman" w:cs="Times New Roman" w:eastAsia="楷体_GB2312" w:hint="eastAsia"/>
          <w:sz w:val="24"/>
        </w:rPr>
        <w:instrText xml:space="preserve"> SEQ 图 \* ARABIC </w:instrTex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separate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9</w: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end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 xml:space="preserve">  美国国家层面无人/AI 作战布局（五层 × 五项）</w:t>
      </w:r>
      <w:bookmarkEnd w:id="121"/>
    </w:p>
    <w:p>
      <w:pPr>
        <w:spacing w:line="360" w:lineRule="exact" w:before="0" w:after="200"/>
        <w:jc w:val="center"/>
      </w:pP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1"/>
        </w:rPr>
        <w:t>来源：本报告依据行政令、部长备忘录、预算文件与公开报道绘制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规模化无人系统方面，“复制者”计划目标是在 2025 年 8 月前部署数千个可消耗自主系统，2024-11-20 Anduril 与 L3Harris、Swarm Aero 获得“自主协同组队”软件授标；2025 年秋该组合移交自主作战群</w:t>
      </w:r>
      <w:r>
        <w:rPr>
          <w:rFonts w:ascii="Times New Roman" w:hAnsi="Times New Roman" w:cs="Times New Roman" w:eastAsia="楷体_GB2312" w:hint="eastAsia"/>
          <w:b w:val="0"/>
          <w:i w:val="0"/>
          <w:color w:val="222222"/>
          <w:sz w:val="28"/>
        </w:rPr>
        <w:t>（DAWG）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，FY2027 申请经费约 546 亿美元，但有分析称国会委员会只写入约 10 亿美元。“无人机主导权”计划两年内采购约 34 万架小型攻击无人机，公开资料未提及两系统角色，组网协同是 Lattice 的潜在市场。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AI 指挥控制方面，MSS 是 CJADC2 的事实骨干，FY2027 为 MSS 与联合火力网申请 23 亿美元。Lattice 同样处于 CJADC2 之中，CDAO 的 1 亿美元边缘数据网格 OTA 即由 GIDE 原型转化而来。采办改革方面，2025 年第 14265 号行政令和“作战采办体系”改组设立可调剂资金的组合采办执行官，两份陆军企业协议是其在合同层面的体现。在其他布局中，金穹本土导弹防御白宫估算 1,750—1,850 亿美元，据报两家均参加其 C2 产业联盟；空军 CCA 计划 2032 年前至少采购 500 架，Anduril 承担 FQ-44A 生产并进入 LMA 自主软件池。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盟友层面延续国内分工：Palantir 进入北约 ACO 和英国目标网络，Anduril 进入澳大利亚 Ghost Shark、英国 TALOS 等平台与本地化生产。据日经报道，日本考虑将 MSS 与 Lattice 结合并叠加国产 AI 监督层。欧洲的主权担忧是外部主要制约。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/>
          <w:i w:val="0"/>
          <w:color w:val="222222"/>
          <w:sz w:val="28"/>
        </w:rPr>
        <w:t>两家的合作空间在战役/军种 C2 数据层，这一层也是 Feinberg 备忘录和 FY2027 预算加码最集中的位置。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Palantir 首席技术官 Sankar 任陆军预备役中校、Anduril 高管 Obadal 任陆军副部长，人员流动与“新主承包商”叙事和改革议程方向一致，但没有证据表明存在利益输送。</w:t>
      </w:r>
    </w:p>
    <w:p>
      <w:pPr>
        <w:keepNext/>
        <w:pBdr>
          <w:bottom w:val="single" w:sz="6" w:space="4" w:color="12233B"/>
        </w:pBdr>
        <w:spacing w:before="360" w:after="160"/>
        <w:jc w:val="left"/>
        <w:outlineLvl w:val="0"/>
      </w:pPr>
      <w:bookmarkStart w:id="122" w:name="ch_9"/>
      <w:r>
        <w:rPr>
          <w:rFonts w:ascii="Times New Roman" w:hAnsi="Times New Roman" w:cs="Times New Roman" w:eastAsia="黑体" w:hint="eastAsia"/>
          <w:b/>
          <w:i w:val="0"/>
          <w:color w:val="A8842F"/>
          <w:sz w:val="34"/>
        </w:rPr>
        <w:t>九、</w:t>
      </w:r>
      <w:r>
        <w:rPr>
          <w:rFonts w:ascii="Times New Roman" w:hAnsi="Times New Roman" w:cs="Times New Roman" w:eastAsia="黑体" w:hint="eastAsia"/>
          <w:b/>
          <w:i w:val="0"/>
          <w:color w:val="12233B"/>
          <w:sz w:val="30"/>
        </w:rPr>
        <w:t>合同与经费统计</w:t>
      </w:r>
      <w:bookmarkEnd w:id="122"/>
    </w:p>
    <w:p>
      <w:pPr>
        <w:pBdr>
          <w:left w:val="single" w:sz="24" w:space="8" w:color="A8842F"/>
        </w:pBdr>
        <w:shd w:val="clear" w:color="auto" w:fill="FFFFFF"/>
        <w:spacing w:line="480" w:lineRule="exact" w:before="120" w:after="240"/>
        <w:ind w:left="240" w:right="12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6"/>
        </w:rPr>
        <w:t>本报告整理 Anduril 合同与任务 48 项、Maven/Palantir 合同 35 项。两家都从试点起步，经 IDIQ/OTA 进入数亿美元级合同，最终由陆军以结构相同的企业协议整体纳入；Lattice 明示合同上限</w:t>
      </w:r>
      <w:r>
        <w:rPr>
          <w:rFonts w:ascii="Times New Roman" w:hAnsi="Times New Roman" w:cs="Times New Roman" w:eastAsia="楷体_GB2312" w:hint="eastAsia"/>
          <w:b w:val="0"/>
          <w:i w:val="0"/>
          <w:color w:val="222222"/>
          <w:sz w:val="26"/>
        </w:rPr>
        <w:t>（不含企业协议）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6"/>
        </w:rPr>
        <w:t>约 21.8 亿美元，MSS 可汇总上限约 14 亿美元，均为上限，并非拨付额。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35218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anduril_contrac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521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00" w:lineRule="exact" w:before="0" w:after="40"/>
        <w:jc w:val="center"/>
      </w:pPr>
      <w:bookmarkStart w:id="123" w:name="fig_10"/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图</w: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begin"/>
      </w:r>
      <w:r>
        <w:rPr>
          <w:rFonts w:ascii="Times New Roman" w:hAnsi="Times New Roman" w:cs="Times New Roman" w:eastAsia="楷体_GB2312" w:hint="eastAsia"/>
          <w:sz w:val="24"/>
        </w:rPr>
        <w:instrText xml:space="preserve"> SEQ 图 \* ARABIC </w:instrTex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separate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10</w: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end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 xml:space="preserve">  Anduril 主要合同金额（按时间，对数坐标）</w:t>
      </w:r>
      <w:bookmarkEnd w:id="123"/>
    </w:p>
    <w:p>
      <w:pPr>
        <w:spacing w:line="360" w:lineRule="exact" w:before="0" w:after="200"/>
        <w:jc w:val="center"/>
      </w:pP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1"/>
        </w:rPr>
        <w:t>来源：本报告依据各合同公告与行业媒体整理；上限、已拨付与 FMS 估值口径不同，不可简单相加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本章口径：合同上限不等于拨付额，对外军售批准估值不等于合同额，企业协议下的任务订单不与载体上限重复相加。按公开上限粗算，Anduril 2022 年约 10.7 亿美元，2025 年约 21 亿美元，2026 年截至 10 月约 280 亿美元，剔除 200 亿美元企业协议后约 80 亿美元，约为 2025 年的 4 倍。已知实际拨付额远小于上限：SOCOM 授予时约 110 万、CDAO 约 3,300 万、JIATF-401 任务订单约 8,700 万美元。CCA 生产、天基拦截器份额等项目未披露金额，年度合计明显低估真实规模。科威特 19.8 亿美元、台湾 ALTIUS 3 亿美元均为对外军售批准估值，不计入合计。MSS 可汇总上限为主合同约 12.75 亿、ARL 9,980 万和 NGA 2,800 万美元，合计约 14 亿美元。</w:t>
      </w:r>
    </w:p>
    <w:p>
      <w:pPr>
        <w:keepNext/>
        <w:spacing w:line="400" w:lineRule="exact" w:before="160" w:after="80"/>
        <w:jc w:val="center"/>
      </w:pPr>
      <w:bookmarkStart w:id="124" w:name="tab_4"/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表</w: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begin"/>
      </w:r>
      <w:r>
        <w:rPr>
          <w:rFonts w:ascii="Times New Roman" w:hAnsi="Times New Roman" w:cs="Times New Roman" w:eastAsia="楷体_GB2312" w:hint="eastAsia"/>
          <w:sz w:val="24"/>
        </w:rPr>
        <w:instrText xml:space="preserve"> SEQ 表 \* ARABIC </w:instrTex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separate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4</w: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end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 xml:space="preserve">  两系统主要合同与合同载体</w:t>
      </w:r>
      <w:bookmarkEnd w:id="124"/>
    </w:p>
    <w:tbl>
      <w:tblPr>
        <w:tblW w:w="9072" w:type="dxa"/>
        <w:jc w:val="center"/>
        <w:tblBorders>
          <w:top w:val="single" w:sz="8" w:space="0" w:color="12233B"/>
          <w:left w:val="single" w:sz="4" w:space="0" w:color="C9C2B0"/>
          <w:bottom w:val="single" w:sz="8" w:space="0" w:color="12233B"/>
          <w:right w:val="single" w:sz="4" w:space="0" w:color="C9C2B0"/>
          <w:insideH w:val="single" w:sz="4" w:space="0" w:color="C9C2B0"/>
          <w:insideV w:val="single" w:sz="4" w:space="0" w:color="C9C2B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firstColumn="1" w:firstRow="1" w:lastColumn="0" w:lastRow="0" w:noHBand="0" w:noVBand="1" w:val="04A0"/>
      </w:tblPr>
      <w:tblGrid>
        <w:gridCol w:w="1247"/>
        <w:gridCol w:w="3628"/>
        <w:gridCol w:w="1701"/>
        <w:gridCol w:w="2494"/>
      </w:tblGrid>
      <w:tr>
        <w:trPr>
          <w:cantSplit/>
          <w:tblHeader/>
        </w:trPr>
        <w:tc>
          <w:tcPr>
            <w:tcW w:w="1247" w:type="dxa"/>
            <w:shd w:val="clear" w:color="auto" w:fill="EFEBDF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12233B"/>
                <w:sz w:val="19"/>
              </w:rPr>
              <w:t>日期</w:t>
            </w:r>
          </w:p>
        </w:tc>
        <w:tc>
          <w:tcPr>
            <w:tcW w:w="3628" w:type="dxa"/>
            <w:shd w:val="clear" w:color="auto" w:fill="EFEBDF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12233B"/>
                <w:sz w:val="19"/>
              </w:rPr>
              <w:t>系统与项目</w:t>
            </w:r>
          </w:p>
        </w:tc>
        <w:tc>
          <w:tcPr>
            <w:tcW w:w="1701" w:type="dxa"/>
            <w:shd w:val="clear" w:color="auto" w:fill="EFEBDF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12233B"/>
                <w:sz w:val="19"/>
              </w:rPr>
              <w:t>金额（美元）</w:t>
            </w:r>
          </w:p>
        </w:tc>
        <w:tc>
          <w:tcPr>
            <w:tcW w:w="2494" w:type="dxa"/>
            <w:shd w:val="clear" w:color="auto" w:fill="EFEBDF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12233B"/>
                <w:sz w:val="19"/>
              </w:rPr>
              <w:t>口径说明</w:t>
            </w:r>
          </w:p>
        </w:tc>
      </w:tr>
      <w:tr>
        <w:trPr>
          <w:cantSplit/>
        </w:trPr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2026-03</w:t>
            </w:r>
          </w:p>
        </w:tc>
        <w:tc>
          <w:tcPr>
            <w:tcW w:w="3628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Lattice：陆军企业协议，整合 120 余项采购行动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上限 200 亿</w:t>
            </w:r>
          </w:p>
        </w:tc>
        <w:tc>
          <w:tcPr>
            <w:tcW w:w="249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合同载体，不附资金</w:t>
            </w:r>
          </w:p>
        </w:tc>
      </w:tr>
      <w:tr>
        <w:trPr>
          <w:cantSplit/>
        </w:trPr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2025-07</w:t>
            </w:r>
          </w:p>
        </w:tc>
        <w:tc>
          <w:tcPr>
            <w:tcW w:w="3628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MSS：陆军—Palantir 企业协议，整合 75 份合同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上限 100 亿</w:t>
            </w:r>
          </w:p>
        </w:tc>
        <w:tc>
          <w:tcPr>
            <w:tcW w:w="249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2026 年起承载全部 MSS 合同</w:t>
            </w:r>
          </w:p>
        </w:tc>
      </w:tr>
      <w:tr>
        <w:trPr>
          <w:cantSplit/>
        </w:trPr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2026-10</w:t>
            </w:r>
          </w:p>
        </w:tc>
        <w:tc>
          <w:tcPr>
            <w:tcW w:w="3628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Lattice：NGC2 扩展合同，首个第 I 军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上限 18 亿</w:t>
            </w:r>
          </w:p>
        </w:tc>
        <w:tc>
          <w:tcPr>
            <w:tcW w:w="249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基期 1.628 亿</w:t>
            </w:r>
          </w:p>
        </w:tc>
      </w:tr>
      <w:tr>
        <w:trPr>
          <w:cantSplit/>
        </w:trPr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2024-05/2025-05</w:t>
            </w:r>
          </w:p>
        </w:tc>
        <w:tc>
          <w:tcPr>
            <w:tcW w:w="3628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MSS：主合同及上限追加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上限约 12.75 亿</w:t>
            </w:r>
          </w:p>
        </w:tc>
        <w:tc>
          <w:tcPr>
            <w:tcW w:w="249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4.8 亿起步，追加 7.95 亿</w:t>
            </w:r>
          </w:p>
        </w:tc>
      </w:tr>
      <w:tr>
        <w:trPr>
          <w:cantSplit/>
        </w:trPr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2022-01</w:t>
            </w:r>
          </w:p>
        </w:tc>
        <w:tc>
          <w:tcPr>
            <w:tcW w:w="3628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Lattice：SOCOM 反无人系统集成伙伴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上限 9.676 亿</w:t>
            </w:r>
          </w:p>
        </w:tc>
        <w:tc>
          <w:tcPr>
            <w:tcW w:w="249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授予时拨付约 110 万</w:t>
            </w:r>
          </w:p>
        </w:tc>
      </w:tr>
      <w:tr>
        <w:trPr>
          <w:cantSplit/>
        </w:trPr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2025-11</w:t>
            </w:r>
          </w:p>
        </w:tc>
        <w:tc>
          <w:tcPr>
            <w:tcW w:w="3628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Maven 流水线：NGA SEQUOIA 数据标注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上限 7.08 亿</w:t>
            </w:r>
          </w:p>
        </w:tc>
        <w:tc>
          <w:tcPr>
            <w:tcW w:w="249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非 Palantir 合同</w:t>
            </w:r>
          </w:p>
        </w:tc>
      </w:tr>
      <w:tr>
        <w:trPr>
          <w:cantSplit/>
        </w:trPr>
        <w:tc>
          <w:tcPr>
            <w:tcW w:w="1247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2025-03</w:t>
            </w:r>
          </w:p>
        </w:tc>
        <w:tc>
          <w:tcPr>
            <w:tcW w:w="3628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Lattice：陆战队反小型无人机 I-CsUAS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上限 6.422 亿</w:t>
            </w:r>
          </w:p>
        </w:tc>
        <w:tc>
          <w:tcPr>
            <w:tcW w:w="2494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授予时约 950 万</w:t>
            </w:r>
          </w:p>
        </w:tc>
      </w:tr>
    </w:tbl>
    <w:p>
      <w:pPr>
        <w:spacing w:line="360" w:lineRule="exact" w:before="40" w:after="200"/>
        <w:jc w:val="left"/>
      </w:pP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1"/>
        </w:rPr>
        <w:t>来源：本报告依据完整版第五章整理；金额为上限或授予额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两份陆军企业协议均为 5 年基期加 5 年选项期，上限合计 300 亿美元，分别整合 75 份合同和 120 余项采购行动；Palantir 协议承诺每 18—24 个月复评，Anduril 协议为固定价格。同期 Palantir 2025 年美国政府收入 18.55 亿美元，Anduril 2025 年公司口径营收 22 亿美元，协议上限反映的是预留采购空间。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Maven 经费 FY2018 国会拨款 1.31 亿美元</w:t>
      </w:r>
      <w:r>
        <w:rPr>
          <w:rFonts w:ascii="Times New Roman" w:hAnsi="Times New Roman" w:cs="Times New Roman" w:eastAsia="楷体_GB2312" w:hint="eastAsia"/>
          <w:b w:val="0"/>
          <w:i w:val="0"/>
          <w:color w:val="222222"/>
          <w:sz w:val="28"/>
        </w:rPr>
        <w:t>（国防部请求仅约 3,100 万）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，FY2020 为 2.21 亿、FY2021 为 2.5 亿美元，2023—2025 年并入汇总线无法单独识别，FY2027 申请 23 亿美元</w:t>
      </w:r>
      <w:r>
        <w:rPr>
          <w:rFonts w:ascii="Times New Roman" w:hAnsi="Times New Roman" w:cs="Times New Roman" w:eastAsia="楷体_GB2312" w:hint="eastAsia"/>
          <w:b w:val="0"/>
          <w:i w:val="0"/>
          <w:color w:val="222222"/>
          <w:sz w:val="28"/>
        </w:rPr>
        <w:t>（含联合火力网）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。Palantir 美国政府收入由 2022 年 8.263 亿美元增至 2025 年 18.55 亿美元，2026 年上半年约 14.96 亿美元，同比增长 84％—90％，与 MSS 扩张在时间上吻合，因果关系未经证实。Anduril 估值由 2019 年约 10 亿美元升至 2026 年 5 月的 610 亿美元，公司口径 2026 年营收目标约 43 亿美元，均未经审计。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/>
          <w:i w:val="0"/>
          <w:color w:val="222222"/>
          <w:sz w:val="28"/>
        </w:rPr>
        <w:t>合同结构演变带来锁定加深、可见度下降和上限与实际支出落差扩大三个后果。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企业协议下的订单不必单独公告，Maven 早期合同记录也已被删除。</w:t>
      </w:r>
    </w:p>
    <w:p>
      <w:pPr>
        <w:keepNext/>
        <w:pBdr>
          <w:bottom w:val="single" w:sz="6" w:space="4" w:color="12233B"/>
        </w:pBdr>
        <w:spacing w:before="360" w:after="160"/>
        <w:jc w:val="left"/>
        <w:outlineLvl w:val="0"/>
      </w:pPr>
      <w:bookmarkStart w:id="125" w:name="ch_10"/>
      <w:r>
        <w:rPr>
          <w:rFonts w:ascii="Times New Roman" w:hAnsi="Times New Roman" w:cs="Times New Roman" w:eastAsia="黑体" w:hint="eastAsia"/>
          <w:b/>
          <w:i w:val="0"/>
          <w:color w:val="A8842F"/>
          <w:sz w:val="34"/>
        </w:rPr>
        <w:t>十、</w:t>
      </w:r>
      <w:r>
        <w:rPr>
          <w:rFonts w:ascii="Times New Roman" w:hAnsi="Times New Roman" w:cs="Times New Roman" w:eastAsia="黑体" w:hint="eastAsia"/>
          <w:b/>
          <w:i w:val="0"/>
          <w:color w:val="12233B"/>
          <w:sz w:val="30"/>
        </w:rPr>
        <w:t>研判与关注</w:t>
      </w:r>
      <w:bookmarkEnd w:id="125"/>
    </w:p>
    <w:p>
      <w:pPr>
        <w:pBdr>
          <w:left w:val="single" w:sz="24" w:space="8" w:color="A8842F"/>
        </w:pBdr>
        <w:shd w:val="clear" w:color="auto" w:fill="FFFFFF"/>
        <w:spacing w:line="480" w:lineRule="exact" w:before="120" w:after="240"/>
        <w:ind w:left="240" w:right="12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6"/>
        </w:rPr>
        <w:t>未来竞争焦点将由“能否使用”转向“谁掌握中间层的数据与接口”。两系统的主要风险集中在网络安全、对抗环境下的可靠性、人类监督密度和供应商锁定，算法本身并非主要风险来源；未来 12—24 个月的若干节点将决定两家在美军体系中的最终位置。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网络安全风险居首。陆军 CTO 备忘录称“无法控制谁看到什么”，并指出一个应用存在 25 个高危漏洞；“Lattice + Foundry”成为全军基线后，单点漏洞的影响范围将扩大到整个陆军。战场可靠性方面，Lattice 相关平台在乌克兰受电子战压制、在海军演习中失灵，问题多出在平台和数据链，恰是其抗干扰卖点所在。自动化偏差方面，Minab 事件中平民伤害评估人员据报由约 10 人减至 1 人；机器速度提名与机器速度执行衔接后，人工审查窗口将进一步压缩。锁定方面，Lattice SDK 禁止不兼容实现，Palantir 本体为专有技术，两者映射规范不公开；空军在 CCA 中以政府参考自主架构保持软件可替换，是防止锁定的反例。盟国主权方面，法国推出本国方案，日本执政联盟主张叠加国产监督层，这些诉求可能在北约 eAirC2 选型中得到反映。</w:t>
      </w:r>
    </w:p>
    <w:p>
      <w:pPr>
        <w:spacing w:line="572" w:lineRule="exact" w:before="0" w:after="0"/>
        <w:ind w:firstLine="560"/>
        <w:jc w:val="both"/>
      </w:pPr>
      <w:r>
        <w:rPr>
          <w:rFonts w:ascii="Times New Roman" w:hAnsi="Times New Roman" w:cs="Times New Roman" w:eastAsia="仿宋_GB2312" w:hint="eastAsia"/>
          <w:b/>
          <w:i w:val="0"/>
          <w:color w:val="222222"/>
          <w:sz w:val="28"/>
        </w:rPr>
        <w:t>传统主承包商被纳入新体系，并未被取代；新兴企业之间竞争与合作交织。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8"/>
        </w:rPr>
        <w:t>Scale AI 既是 Lattice 合作伙伴，又在 NGA 标注合同上败给 Enabled Intelligence；Shield AI 在 CCA 自主软件上与 LMA 竞争。两家之间的竞争集中在空中和联合层面的数据层，北约 eAirC2 是首个公开案例。</w:t>
      </w:r>
    </w:p>
    <w:p>
      <w:pPr>
        <w:keepNext/>
        <w:spacing w:line="400" w:lineRule="exact" w:before="160" w:after="80"/>
        <w:jc w:val="center"/>
      </w:pPr>
      <w:bookmarkStart w:id="126" w:name="tab_5"/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表</w: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begin"/>
      </w:r>
      <w:r>
        <w:rPr>
          <w:rFonts w:ascii="Times New Roman" w:hAnsi="Times New Roman" w:cs="Times New Roman" w:eastAsia="楷体_GB2312" w:hint="eastAsia"/>
          <w:sz w:val="24"/>
        </w:rPr>
        <w:instrText xml:space="preserve"> SEQ 表 \* ARABIC </w:instrTex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separate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>5</w:t>
      </w:r>
      <w:r>
        <w:rPr>
          <w:rFonts w:ascii="Times New Roman" w:hAnsi="Times New Roman" w:cs="Times New Roman" w:eastAsia="楷体_GB2312" w:hint="eastAsia"/>
          <w:color w:val="8A8474"/>
          <w:sz w:val="24"/>
        </w:rPr>
        <w:fldChar w:fldCharType="end"/>
      </w: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4"/>
        </w:rPr>
        <w:t xml:space="preserve">  未来 12—24 个月关键观察节点</w:t>
      </w:r>
      <w:bookmarkEnd w:id="126"/>
    </w:p>
    <w:tbl>
      <w:tblPr>
        <w:tblW w:w="9072" w:type="dxa"/>
        <w:jc w:val="center"/>
        <w:tblBorders>
          <w:top w:val="single" w:sz="8" w:space="0" w:color="12233B"/>
          <w:left w:val="single" w:sz="4" w:space="0" w:color="C9C2B0"/>
          <w:bottom w:val="single" w:sz="8" w:space="0" w:color="12233B"/>
          <w:right w:val="single" w:sz="4" w:space="0" w:color="C9C2B0"/>
          <w:insideH w:val="single" w:sz="4" w:space="0" w:color="C9C2B0"/>
          <w:insideV w:val="single" w:sz="4" w:space="0" w:color="C9C2B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firstColumn="1" w:firstRow="1" w:lastColumn="0" w:lastRow="0" w:noHBand="0" w:noVBand="1" w:val="04A0"/>
      </w:tblPr>
      <w:tblGrid>
        <w:gridCol w:w="1701"/>
        <w:gridCol w:w="1360"/>
        <w:gridCol w:w="3288"/>
        <w:gridCol w:w="2721"/>
      </w:tblGrid>
      <w:tr>
        <w:trPr>
          <w:cantSplit/>
          <w:tblHeader/>
        </w:trPr>
        <w:tc>
          <w:tcPr>
            <w:tcW w:w="1701" w:type="dxa"/>
            <w:shd w:val="clear" w:color="auto" w:fill="EFEBDF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12233B"/>
                <w:sz w:val="19"/>
              </w:rPr>
              <w:t>节点</w:t>
            </w:r>
          </w:p>
        </w:tc>
        <w:tc>
          <w:tcPr>
            <w:tcW w:w="1360" w:type="dxa"/>
            <w:shd w:val="clear" w:color="auto" w:fill="EFEBDF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12233B"/>
                <w:sz w:val="19"/>
              </w:rPr>
              <w:t>预计时间</w:t>
            </w:r>
          </w:p>
        </w:tc>
        <w:tc>
          <w:tcPr>
            <w:tcW w:w="3288" w:type="dxa"/>
            <w:shd w:val="clear" w:color="auto" w:fill="EFEBDF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12233B"/>
                <w:sz w:val="19"/>
              </w:rPr>
              <w:t>观察要点</w:t>
            </w:r>
          </w:p>
        </w:tc>
        <w:tc>
          <w:tcPr>
            <w:tcW w:w="2721" w:type="dxa"/>
            <w:shd w:val="clear" w:color="auto" w:fill="EFEBDF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cs="Times New Roman" w:eastAsia="黑体" w:hint="eastAsia"/>
                <w:b/>
                <w:i w:val="0"/>
                <w:color w:val="12233B"/>
                <w:sz w:val="19"/>
              </w:rPr>
              <w:t>对两家的影响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MSS 正式项目落地</w:t>
            </w:r>
          </w:p>
        </w:tc>
        <w:tc>
          <w:tcPr>
            <w:tcW w:w="1360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2026 年末至 2027 年</w:t>
            </w:r>
          </w:p>
        </w:tc>
        <w:tc>
          <w:tcPr>
            <w:tcW w:w="3288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官方完成公告；ATO 瓶颈</w:t>
            </w:r>
          </w:p>
        </w:tc>
        <w:tc>
          <w:tcPr>
            <w:tcW w:w="272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从最常用系统到制度化骨干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北约 eAirC2 选型</w:t>
            </w:r>
          </w:p>
        </w:tc>
        <w:tc>
          <w:tcPr>
            <w:tcW w:w="1360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约 2027 年春</w:t>
            </w:r>
          </w:p>
        </w:tc>
        <w:tc>
          <w:tcPr>
            <w:tcW w:w="3288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三家谁胜出；是否引入主权条件</w:t>
            </w:r>
          </w:p>
        </w:tc>
        <w:tc>
          <w:tcPr>
            <w:tcW w:w="272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Anduril 能否在盟军层面突破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NGC2 推广</w:t>
            </w:r>
          </w:p>
        </w:tc>
        <w:tc>
          <w:tcPr>
            <w:tcW w:w="1360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2026 年末至 2028 年</w:t>
            </w:r>
          </w:p>
        </w:tc>
        <w:tc>
          <w:tcPr>
            <w:tcW w:w="3288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第 I 军部署；推广至 11 个师</w:t>
            </w:r>
          </w:p>
        </w:tc>
        <w:tc>
          <w:tcPr>
            <w:tcW w:w="272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“Lattice + Foundry”能否成为陆军标准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Lattice—Foundry 接口</w:t>
            </w:r>
          </w:p>
        </w:tc>
        <w:tc>
          <w:tcPr>
            <w:tcW w:w="1360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持续</w:t>
            </w:r>
          </w:p>
        </w:tc>
        <w:tc>
          <w:tcPr>
            <w:tcW w:w="3288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是否公开映射规范或形成政府标准</w:t>
            </w:r>
          </w:p>
        </w:tc>
        <w:tc>
          <w:tcPr>
            <w:tcW w:w="272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避免锁定能否落地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DAWG 预算</w:t>
            </w:r>
          </w:p>
        </w:tc>
        <w:tc>
          <w:tcPr>
            <w:tcW w:w="1360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FY2027 拨款周期</w:t>
            </w:r>
          </w:p>
        </w:tc>
        <w:tc>
          <w:tcPr>
            <w:tcW w:w="3288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546 亿美元申请写入多少</w:t>
            </w:r>
          </w:p>
        </w:tc>
        <w:tc>
          <w:tcPr>
            <w:tcW w:w="272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Lattice 群体协同软件市场规模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金穹 C2</w:t>
            </w:r>
          </w:p>
        </w:tc>
        <w:tc>
          <w:tcPr>
            <w:tcW w:w="1360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2026—2028 年</w:t>
            </w:r>
          </w:p>
        </w:tc>
        <w:tc>
          <w:tcPr>
            <w:tcW w:w="3288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测试结果；正式合同与分工</w:t>
            </w:r>
          </w:p>
        </w:tc>
        <w:tc>
          <w:tcPr>
            <w:tcW w:w="272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两家在联合级 C2 的地位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CCA 自主软件</w:t>
            </w:r>
          </w:p>
        </w:tc>
        <w:tc>
          <w:tcPr>
            <w:tcW w:w="1360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至 2027 年</w:t>
            </w:r>
          </w:p>
        </w:tc>
        <w:tc>
          <w:tcPr>
            <w:tcW w:w="3288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任务自主软件池最终选择</w:t>
            </w:r>
          </w:p>
        </w:tc>
        <w:tc>
          <w:tcPr>
            <w:tcW w:w="2721" w:type="dxa"/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cs="Times New Roman" w:eastAsia="仿宋_GB2312" w:hint="eastAsia"/>
                <w:b w:val="0"/>
                <w:i w:val="0"/>
                <w:color w:val="222222"/>
                <w:sz w:val="19"/>
              </w:rPr>
              <w:t>Lattice 能否成为空中自主标准</w:t>
            </w:r>
          </w:p>
        </w:tc>
      </w:tr>
    </w:tbl>
    <w:p>
      <w:pPr>
        <w:spacing w:line="360" w:lineRule="exact" w:before="40" w:after="200"/>
        <w:jc w:val="left"/>
      </w:pP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1"/>
        </w:rPr>
        <w:t>来源：本报告研判；时间为依据公开资料的预计</w:t>
      </w:r>
    </w:p>
    <w:p>
      <w:pPr>
        <w:pBdr>
          <w:left w:val="single" w:sz="24" w:space="8" w:color="A8842F"/>
        </w:pBdr>
        <w:shd w:val="clear" w:color="auto" w:fill="FFFFFF"/>
        <w:spacing w:line="480" w:lineRule="exact" w:before="160" w:after="0"/>
        <w:ind w:left="240" w:right="120"/>
        <w:jc w:val="left"/>
      </w:pPr>
      <w:r>
        <w:rPr>
          <w:rFonts w:ascii="Times New Roman" w:hAnsi="Times New Roman" w:cs="Times New Roman" w:eastAsia="黑体" w:hint="eastAsia"/>
          <w:b/>
          <w:i w:val="0"/>
          <w:color w:val="A8842F"/>
          <w:sz w:val="26"/>
        </w:rPr>
        <w:t>对我启示性观察</w:t>
      </w:r>
    </w:p>
    <w:p>
      <w:pPr>
        <w:pBdr>
          <w:left w:val="single" w:sz="24" w:space="8" w:color="A8842F"/>
        </w:pBdr>
        <w:shd w:val="clear" w:color="auto" w:fill="FFFFFF"/>
        <w:spacing w:line="480" w:lineRule="exact" w:before="0" w:after="0"/>
        <w:ind w:left="240" w:right="120"/>
        <w:jc w:val="both"/>
      </w:pPr>
      <w:r>
        <w:rPr>
          <w:rFonts w:ascii="Times New Roman" w:hAnsi="Times New Roman" w:cs="Times New Roman" w:eastAsia="仿宋_GB2312" w:hint="eastAsia"/>
          <w:b/>
          <w:i w:val="0"/>
          <w:color w:val="A8842F"/>
          <w:sz w:val="26"/>
        </w:rPr>
        <w:t xml:space="preserve">① 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6"/>
        </w:rPr>
        <w:t>体系竞争焦点正由单项算法转向中间层，数据模型、接口与许可条款决定接入速度和替换成本。</w:t>
      </w:r>
    </w:p>
    <w:p>
      <w:pPr>
        <w:pBdr>
          <w:left w:val="single" w:sz="24" w:space="8" w:color="A8842F"/>
        </w:pBdr>
        <w:shd w:val="clear" w:color="auto" w:fill="FFFFFF"/>
        <w:spacing w:line="480" w:lineRule="exact" w:before="0" w:after="0"/>
        <w:ind w:left="240" w:right="120"/>
        <w:jc w:val="both"/>
      </w:pPr>
      <w:r>
        <w:rPr>
          <w:rFonts w:ascii="Times New Roman" w:hAnsi="Times New Roman" w:cs="Times New Roman" w:eastAsia="仿宋_GB2312" w:hint="eastAsia"/>
          <w:b/>
          <w:i w:val="0"/>
          <w:color w:val="A8842F"/>
          <w:sz w:val="26"/>
        </w:rPr>
        <w:t xml:space="preserve">② 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6"/>
        </w:rPr>
        <w:t>AI 目标定位的效能主要来自流程组织，评估同类系统时数据保鲜和人工审查时长比识别率更具判别力。</w:t>
      </w:r>
    </w:p>
    <w:p>
      <w:pPr>
        <w:pBdr>
          <w:left w:val="single" w:sz="24" w:space="8" w:color="A8842F"/>
        </w:pBdr>
        <w:shd w:val="clear" w:color="auto" w:fill="FFFFFF"/>
        <w:spacing w:line="480" w:lineRule="exact" w:before="0" w:after="0"/>
        <w:ind w:left="240" w:right="120"/>
        <w:jc w:val="both"/>
      </w:pPr>
      <w:r>
        <w:rPr>
          <w:rFonts w:ascii="Times New Roman" w:hAnsi="Times New Roman" w:cs="Times New Roman" w:eastAsia="仿宋_GB2312" w:hint="eastAsia"/>
          <w:b/>
          <w:i w:val="0"/>
          <w:color w:val="A8842F"/>
          <w:sz w:val="26"/>
        </w:rPr>
        <w:t xml:space="preserve">③ 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6"/>
        </w:rPr>
        <w:t>边缘自主的实际门槛是强对抗环境下的链路生存，电子战压制与网络渗透是检验网格的关键条件。</w:t>
      </w:r>
    </w:p>
    <w:p>
      <w:pPr>
        <w:pBdr>
          <w:left w:val="single" w:sz="24" w:space="8" w:color="A8842F"/>
        </w:pBdr>
        <w:shd w:val="clear" w:color="auto" w:fill="FFFFFF"/>
        <w:spacing w:line="480" w:lineRule="exact" w:before="0" w:after="0"/>
        <w:ind w:left="240" w:right="120"/>
        <w:jc w:val="both"/>
      </w:pPr>
      <w:r>
        <w:rPr>
          <w:rFonts w:ascii="Times New Roman" w:hAnsi="Times New Roman" w:cs="Times New Roman" w:eastAsia="仿宋_GB2312" w:hint="eastAsia"/>
          <w:b/>
          <w:i w:val="0"/>
          <w:color w:val="A8842F"/>
          <w:sz w:val="26"/>
        </w:rPr>
        <w:t xml:space="preserve">④ 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6"/>
        </w:rPr>
        <w:t>企业协议加任务订单将能力生成周期压缩到约 15 个月，代价是透明度下降和竞争强度减弱。</w:t>
      </w:r>
    </w:p>
    <w:p>
      <w:pPr>
        <w:pBdr>
          <w:left w:val="single" w:sz="24" w:space="8" w:color="A8842F"/>
        </w:pBdr>
        <w:shd w:val="clear" w:color="auto" w:fill="FFFFFF"/>
        <w:spacing w:line="480" w:lineRule="exact" w:before="0" w:after="200"/>
        <w:ind w:left="240" w:right="120"/>
        <w:jc w:val="both"/>
      </w:pPr>
      <w:r>
        <w:rPr>
          <w:rFonts w:ascii="Times New Roman" w:hAnsi="Times New Roman" w:cs="Times New Roman" w:eastAsia="仿宋_GB2312" w:hint="eastAsia"/>
          <w:b/>
          <w:i w:val="0"/>
          <w:color w:val="A8842F"/>
          <w:sz w:val="26"/>
        </w:rPr>
        <w:t xml:space="preserve">⑤ 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6"/>
        </w:rPr>
        <w:t>开放平台的攻击面、被稀释的人机监督和盟国主权顾虑，可能制约两系统进一步扩张，需持续跟踪。</w:t>
      </w:r>
    </w:p>
    <w:p>
      <w:pPr>
        <w:spacing w:line="400" w:lineRule="exact" w:before="240" w:after="0"/>
        <w:jc w:val="left"/>
      </w:pP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2"/>
        </w:rPr>
        <w:t>说明：本精要版各项事实与数字的出处，见《算法战双核》完整版正文引注与参考文献。</w:t>
      </w:r>
    </w:p>
    <w:p>
      <w:pPr>
        <w:pBdr>
          <w:bottom w:val="single" w:sz="6" w:space="4" w:color="A8842F"/>
        </w:pBdr>
        <w:spacing w:before="280" w:after="0"/>
        <w:jc w:val="center"/>
      </w:pPr>
    </w:p>
    <w:p>
      <w:pPr>
        <w:spacing w:before="80" w:after="0"/>
        <w:jc w:val="center"/>
      </w:pPr>
      <w:r>
        <w:rPr>
          <w:rFonts w:ascii="Times New Roman" w:hAnsi="Times New Roman" w:cs="Times New Roman" w:eastAsia="楷体_GB2312" w:hint="eastAsia"/>
          <w:b w:val="0"/>
          <w:i w:val="0"/>
          <w:color w:val="8A8474"/>
          <w:sz w:val="20"/>
        </w:rPr>
        <w:t>—— 本文完 ｜《析光》2026年10月特情 · 体系研判 ——</w:t>
      </w:r>
    </w:p>
    <w:p>
      <w:r>
        <w:br w:type="page"/>
      </w:r>
    </w:p>
    <w:p>
      <w:pPr>
        <w:pBdr>
          <w:bottom w:val="single" w:sz="8" w:space="4" w:color="A8842F"/>
        </w:pBdr>
        <w:spacing w:before="1200" w:after="320"/>
        <w:jc w:val="center"/>
      </w:pPr>
      <w:r>
        <w:rPr>
          <w:rFonts w:ascii="Times New Roman" w:hAnsi="Times New Roman" w:cs="Times New Roman" w:eastAsia="黑体" w:hint="eastAsia"/>
          <w:b/>
          <w:i w:val="0"/>
          <w:color w:val="12233B"/>
          <w:sz w:val="32"/>
        </w:rPr>
        <w:t>本 期 编 制</w:t>
      </w:r>
    </w:p>
    <w:p>
      <w:pPr>
        <w:spacing w:line="600" w:lineRule="exact" w:before="0" w:after="0"/>
        <w:ind w:left="1200"/>
        <w:jc w:val="left"/>
      </w:pPr>
      <w:r>
        <w:rPr>
          <w:rFonts w:ascii="Times New Roman" w:hAnsi="Times New Roman" w:cs="Times New Roman" w:eastAsia="黑体" w:hint="eastAsia"/>
          <w:b/>
          <w:i w:val="0"/>
          <w:color w:val="12233B"/>
          <w:sz w:val="24"/>
        </w:rPr>
        <w:t xml:space="preserve">刊　　名　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4"/>
        </w:rPr>
        <w:t>《析光》科研情报刊物 · 特情</w:t>
      </w:r>
    </w:p>
    <w:p>
      <w:pPr>
        <w:spacing w:line="600" w:lineRule="exact" w:before="0" w:after="0"/>
        <w:ind w:left="1200"/>
        <w:jc w:val="left"/>
      </w:pPr>
      <w:r>
        <w:rPr>
          <w:rFonts w:ascii="Times New Roman" w:hAnsi="Times New Roman" w:cs="Times New Roman" w:eastAsia="黑体" w:hint="eastAsia"/>
          <w:b/>
          <w:i w:val="0"/>
          <w:color w:val="12233B"/>
          <w:sz w:val="24"/>
        </w:rPr>
        <w:t xml:space="preserve">期　　次　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4"/>
        </w:rPr>
        <w:t>特情 · 2026年10月</w:t>
      </w:r>
    </w:p>
    <w:p>
      <w:pPr>
        <w:spacing w:line="600" w:lineRule="exact" w:before="0" w:after="0"/>
        <w:ind w:left="1200"/>
        <w:jc w:val="left"/>
      </w:pPr>
      <w:r>
        <w:rPr>
          <w:rFonts w:ascii="Times New Roman" w:hAnsi="Times New Roman" w:cs="Times New Roman" w:eastAsia="黑体" w:hint="eastAsia"/>
          <w:b/>
          <w:i w:val="0"/>
          <w:color w:val="12233B"/>
          <w:sz w:val="24"/>
        </w:rPr>
        <w:t xml:space="preserve">题　　目　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4"/>
        </w:rPr>
        <w:t>算法战双核——美军“边缘神经网”与“目标工厂”：Anduril Lattice 与 Palantir Maven Smart System 全景解析（2017—2026）</w:t>
      </w:r>
    </w:p>
    <w:p>
      <w:pPr>
        <w:spacing w:line="600" w:lineRule="exact" w:before="0" w:after="0"/>
        <w:ind w:left="1200"/>
        <w:jc w:val="left"/>
      </w:pPr>
      <w:r>
        <w:rPr>
          <w:rFonts w:ascii="Times New Roman" w:hAnsi="Times New Roman" w:cs="Times New Roman" w:eastAsia="黑体" w:hint="eastAsia"/>
          <w:b/>
          <w:i w:val="0"/>
          <w:color w:val="12233B"/>
          <w:sz w:val="24"/>
        </w:rPr>
        <w:t xml:space="preserve">编　　制　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4"/>
        </w:rPr>
        <w:t>无人体系中心 · 鸿眼科情团队</w:t>
      </w:r>
    </w:p>
    <w:p>
      <w:pPr>
        <w:spacing w:line="600" w:lineRule="exact" w:before="0" w:after="0"/>
        <w:ind w:left="1200"/>
        <w:jc w:val="left"/>
      </w:pPr>
      <w:r>
        <w:rPr>
          <w:rFonts w:ascii="Times New Roman" w:hAnsi="Times New Roman" w:cs="Times New Roman" w:eastAsia="黑体" w:hint="eastAsia"/>
          <w:b/>
          <w:i w:val="0"/>
          <w:color w:val="12233B"/>
          <w:sz w:val="24"/>
        </w:rPr>
        <w:t xml:space="preserve">资料截止　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4"/>
        </w:rPr>
        <w:t>2026年10月10日（检索日期 2026年10月10日）</w:t>
      </w:r>
    </w:p>
    <w:p>
      <w:pPr>
        <w:spacing w:line="600" w:lineRule="exact" w:before="0" w:after="0"/>
        <w:ind w:left="1200"/>
        <w:jc w:val="left"/>
      </w:pPr>
      <w:r>
        <w:rPr>
          <w:rFonts w:ascii="Times New Roman" w:hAnsi="Times New Roman" w:cs="Times New Roman" w:eastAsia="黑体" w:hint="eastAsia"/>
          <w:b/>
          <w:i w:val="0"/>
          <w:color w:val="12233B"/>
          <w:sz w:val="24"/>
        </w:rPr>
        <w:t xml:space="preserve">资料性质　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4"/>
        </w:rPr>
        <w:t>公开来源情报（OSINT）汇编与分析；各方口径并列呈现，弱源与推断均已标注</w:t>
      </w:r>
    </w:p>
    <w:p>
      <w:pPr>
        <w:spacing w:line="600" w:lineRule="exact" w:before="0" w:after="0"/>
        <w:ind w:left="1200"/>
        <w:jc w:val="left"/>
      </w:pPr>
      <w:r>
        <w:rPr>
          <w:rFonts w:ascii="Times New Roman" w:hAnsi="Times New Roman" w:cs="Times New Roman" w:eastAsia="黑体" w:hint="eastAsia"/>
          <w:b/>
          <w:i w:val="0"/>
          <w:color w:val="12233B"/>
          <w:sz w:val="24"/>
        </w:rPr>
        <w:t xml:space="preserve">密　　级　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4"/>
        </w:rPr>
        <w:t>非密·内部资料</w:t>
      </w:r>
    </w:p>
    <w:p>
      <w:pPr>
        <w:spacing w:line="600" w:lineRule="exact" w:before="0" w:after="0"/>
        <w:ind w:left="1200"/>
        <w:jc w:val="left"/>
      </w:pPr>
      <w:r>
        <w:rPr>
          <w:rFonts w:ascii="Times New Roman" w:hAnsi="Times New Roman" w:cs="Times New Roman" w:eastAsia="黑体" w:hint="eastAsia"/>
          <w:b/>
          <w:i w:val="0"/>
          <w:color w:val="12233B"/>
          <w:sz w:val="24"/>
        </w:rPr>
        <w:t xml:space="preserve">版本说明　</w:t>
      </w:r>
      <w:r>
        <w:rPr>
          <w:rFonts w:ascii="Times New Roman" w:hAnsi="Times New Roman" w:cs="Times New Roman" w:eastAsia="仿宋_GB2312" w:hint="eastAsia"/>
          <w:b w:val="0"/>
          <w:i w:val="0"/>
          <w:color w:val="222222"/>
          <w:sz w:val="24"/>
        </w:rPr>
        <w:t>docx 编辑版 · HTML 图文热链版（含原图链接）· 精要版 docx · 配图采集清单</w:t>
      </w:r>
    </w:p>
    <w:p>
      <w:pPr>
        <w:spacing w:before="800" w:after="0"/>
        <w:jc w:val="center"/>
      </w:pPr>
      <w:r>
        <w:rPr>
          <w:rFonts w:ascii="Times New Roman" w:hAnsi="Times New Roman" w:cs="Times New Roman" w:eastAsia="黑体" w:hint="eastAsia"/>
          <w:b/>
          <w:i w:val="0"/>
          <w:color w:val="A8842F"/>
          <w:sz w:val="26"/>
        </w:rPr>
        <w:t>看得早 · 看得懂 · 看得准 · 看得透</w:t>
      </w:r>
    </w:p>
    <w:p>
      <w:pPr>
        <w:sectPr>
          <w:footerReference w:type="default" r:id="rId13"/>
          <w:footerReference w:type="first" r:id="rId14"/>
          <w:footerReference w:type="even" r:id="rId15"/>
          <w:pgSz w:w="11906" w:h="16838"/>
          <w:pgMar w:top="1474" w:right="1417" w:bottom="1361" w:left="1417" w:header="680" w:footer="624" w:gutter="0"/>
          <w:pgNumType w:start="1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77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7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26"/>
      <w:footerReference w:type="first" r:id="rId27"/>
      <w:footerReference w:type="even" r:id="rId28"/>
      <w:headerReference w:type="default" r:id="rId29"/>
      <w:headerReference w:type="first" r:id="rId30"/>
      <w:headerReference w:type="even" r:id="rId31"/>
      <w:pgSz w:w="11906" w:h="16838"/>
      <w:pgMar w:top="0" w:right="0" w:bottom="0" w:left="0" w:header="0" w:footer="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楷体_GB2312" w:hint="eastAsia"/>
        <w:b w:val="0"/>
        <w:i w:val="0"/>
        <w:color w:val="8A8474"/>
        <w:sz w:val="18"/>
      </w:rPr>
      <w:t>析光·科研情报｜鸿眼·无人体系中心　　看得早·看得懂·看得准·看得透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 w:hint="eastAsia"/>
        <w:b w:val="0"/>
        <w:i w:val="0"/>
        <w:color w:val="222222"/>
        <w:sz w:val="24"/>
      </w:rPr>
      <w:t xml:space="preserve">— </w:t>
    </w:r>
    <w:r>
      <w:rPr>
        <w:rFonts w:ascii="Times New Roman" w:hAnsi="Times New Roman" w:cs="Times New Roman" w:eastAsia="宋体" w:hint="eastAsia"/>
        <w:color w:val="222222"/>
        <w:sz w:val="24"/>
      </w:rPr>
      <w:fldChar w:fldCharType="begin"/>
    </w:r>
    <w:r>
      <w:rPr>
        <w:rFonts w:ascii="Times New Roman" w:hAnsi="Times New Roman" w:cs="Times New Roman" w:eastAsia="宋体" w:hint="eastAsia"/>
        <w:sz w:val="24"/>
      </w:rPr>
      <w:instrText xml:space="preserve"> PAGE </w:instrText>
    </w:r>
    <w:r>
      <w:rPr>
        <w:rFonts w:ascii="Times New Roman" w:hAnsi="Times New Roman" w:cs="Times New Roman" w:eastAsia="宋体" w:hint="eastAsia"/>
        <w:color w:val="222222"/>
        <w:sz w:val="24"/>
      </w:rPr>
      <w:fldChar w:fldCharType="separate"/>
    </w:r>
    <w:r>
      <w:rPr>
        <w:rFonts w:ascii="Times New Roman" w:hAnsi="Times New Roman" w:cs="Times New Roman" w:eastAsia="宋体" w:hint="eastAsia"/>
        <w:b w:val="0"/>
        <w:i w:val="0"/>
        <w:color w:val="222222"/>
        <w:sz w:val="24"/>
      </w:rPr>
      <w:t>1</w:t>
    </w:r>
    <w:r>
      <w:rPr>
        <w:rFonts w:ascii="Times New Roman" w:hAnsi="Times New Roman" w:cs="Times New Roman" w:eastAsia="宋体" w:hint="eastAsia"/>
        <w:color w:val="222222"/>
        <w:sz w:val="24"/>
      </w:rPr>
      <w:fldChar w:fldCharType="end"/>
    </w:r>
    <w:r>
      <w:rPr>
        <w:rFonts w:ascii="Times New Roman" w:hAnsi="Times New Roman" w:cs="Times New Roman" w:eastAsia="宋体" w:hint="eastAsia"/>
        <w:b w:val="0"/>
        <w:i w:val="0"/>
        <w:color w:val="222222"/>
        <w:sz w:val="24"/>
      </w:rPr>
      <w:t xml:space="preserve"> —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 w:hint="eastAsia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oter" Target="footer4.xml"/><Relationship Id="rId14" Type="http://schemas.openxmlformats.org/officeDocument/2006/relationships/footer" Target="footer5.xml"/><Relationship Id="rId15" Type="http://schemas.openxmlformats.org/officeDocument/2006/relationships/footer" Target="footer6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footer" Target="footer7.xml"/><Relationship Id="rId27" Type="http://schemas.openxmlformats.org/officeDocument/2006/relationships/footer" Target="footer8.xml"/><Relationship Id="rId28" Type="http://schemas.openxmlformats.org/officeDocument/2006/relationships/footer" Target="footer9.xml"/><Relationship Id="rId29" Type="http://schemas.openxmlformats.org/officeDocument/2006/relationships/header" Target="header1.xml"/><Relationship Id="rId30" Type="http://schemas.openxmlformats.org/officeDocument/2006/relationships/header" Target="header2.xml"/><Relationship Id="rId31" Type="http://schemas.openxmlformats.org/officeDocument/2006/relationships/header" Target="header3.xml"/><Relationship Id="rId3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