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7F4EC"/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7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brie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pBdr>
          <w:bottom w:val="single" w:sz="8" w:space="4" w:color="A8842F"/>
        </w:pBdr>
        <w:spacing w:before="80" w:after="200"/>
        <w:jc w:val="center"/>
        <w:outlineLvl w:val="0"/>
      </w:pPr>
      <w:bookmarkStart w:id="101" w:name="toc"/>
      <w:r>
        <w:rPr>
          <w:rFonts w:ascii="Times New Roman" w:hAnsi="Times New Roman" w:cs="Times New Roman" w:eastAsia="黑体" w:hint="eastAsia"/>
          <w:b/>
          <w:i w:val="0"/>
          <w:color w:val="12233B"/>
          <w:sz w:val="32"/>
        </w:rPr>
        <w:t>目　　录</w:t>
      </w:r>
      <w:bookmarkEnd w:id="101"/>
    </w:p>
    <w:p>
      <w:pPr>
        <w:tabs>
          <w:tab w:val="right" w:leader="dot" w:pos="9070"/>
        </w:tabs>
        <w:spacing w:line="480" w:lineRule="exact" w:before="80" w:after="0"/>
        <w:ind w:left="0"/>
        <w:jc w:val="left"/>
      </w:pPr>
      <w:r>
        <w:fldChar w:fldCharType="begin"/>
      </w:r>
      <w:r>
        <w:rPr>
          <w:rFonts w:ascii="Times New Roman" w:hAnsi="Times New Roman" w:cs="Times New Roman" w:eastAsia="黑体" w:hint="eastAsia"/>
          <w:sz w:val="26"/>
        </w:rPr>
        <w:instrText xml:space="preserve"> HYPERLINK \l "ch_1" </w:instrText>
      </w:r>
      <w:r>
        <w:fldChar w:fldCharType="separate"/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26"/>
        </w:rPr>
        <w:t>一、总体结论</w:t>
      </w:r>
      <w:r>
        <w:rPr>
          <w:rFonts w:ascii="Times New Roman" w:hAnsi="Times New Roman" w:cs="Times New Roman" w:eastAsia="Times New Roman" w:hint="eastAsia"/>
          <w:b/>
          <w:i w:val="0"/>
          <w:color w:val="12233B"/>
          <w:sz w:val="26"/>
        </w:rPr>
        <w:tab/>
        <w:t>1</w:t>
      </w:r>
      <w:r>
        <w:fldChar w:fldCharType="end"/>
      </w:r>
    </w:p>
    <w:p>
      <w:pPr>
        <w:tabs>
          <w:tab w:val="right" w:leader="dot" w:pos="9070"/>
        </w:tabs>
        <w:spacing w:line="480" w:lineRule="exact" w:before="80" w:after="0"/>
        <w:ind w:left="0"/>
        <w:jc w:val="left"/>
      </w:pPr>
      <w:r>
        <w:fldChar w:fldCharType="begin"/>
      </w:r>
      <w:r>
        <w:rPr>
          <w:rFonts w:ascii="Times New Roman" w:hAnsi="Times New Roman" w:cs="Times New Roman" w:eastAsia="黑体" w:hint="eastAsia"/>
          <w:sz w:val="26"/>
        </w:rPr>
        <w:instrText xml:space="preserve"> HYPERLINK \l "ch_2" </w:instrText>
      </w:r>
      <w:r>
        <w:fldChar w:fldCharType="separate"/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26"/>
        </w:rPr>
        <w:t>二、两系统一览</w:t>
      </w:r>
      <w:r>
        <w:rPr>
          <w:rFonts w:ascii="Times New Roman" w:hAnsi="Times New Roman" w:cs="Times New Roman" w:eastAsia="Times New Roman" w:hint="eastAsia"/>
          <w:b/>
          <w:i w:val="0"/>
          <w:color w:val="12233B"/>
          <w:sz w:val="26"/>
        </w:rPr>
        <w:tab/>
        <w:t>3</w:t>
      </w:r>
      <w:r>
        <w:fldChar w:fldCharType="end"/>
      </w:r>
    </w:p>
    <w:p>
      <w:pPr>
        <w:tabs>
          <w:tab w:val="right" w:leader="dot" w:pos="9070"/>
        </w:tabs>
        <w:spacing w:line="480" w:lineRule="exact" w:before="80" w:after="0"/>
        <w:ind w:left="0"/>
        <w:jc w:val="left"/>
      </w:pPr>
      <w:r>
        <w:fldChar w:fldCharType="begin"/>
      </w:r>
      <w:r>
        <w:rPr>
          <w:rFonts w:ascii="Times New Roman" w:hAnsi="Times New Roman" w:cs="Times New Roman" w:eastAsia="黑体" w:hint="eastAsia"/>
          <w:sz w:val="26"/>
        </w:rPr>
        <w:instrText xml:space="preserve"> HYPERLINK \l "ch_3" </w:instrText>
      </w:r>
      <w:r>
        <w:fldChar w:fldCharType="separate"/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26"/>
        </w:rPr>
        <w:t>三、前世今生</w:t>
      </w:r>
      <w:r>
        <w:rPr>
          <w:rFonts w:ascii="Times New Roman" w:hAnsi="Times New Roman" w:cs="Times New Roman" w:eastAsia="Times New Roman" w:hint="eastAsia"/>
          <w:b/>
          <w:i w:val="0"/>
          <w:color w:val="12233B"/>
          <w:sz w:val="26"/>
        </w:rPr>
        <w:tab/>
        <w:t>5</w:t>
      </w:r>
      <w:r>
        <w:fldChar w:fldCharType="end"/>
      </w:r>
    </w:p>
    <w:p>
      <w:pPr>
        <w:tabs>
          <w:tab w:val="right" w:leader="dot" w:pos="9070"/>
        </w:tabs>
        <w:spacing w:line="480" w:lineRule="exact" w:before="80" w:after="0"/>
        <w:ind w:left="0"/>
        <w:jc w:val="left"/>
      </w:pPr>
      <w:r>
        <w:fldChar w:fldCharType="begin"/>
      </w:r>
      <w:r>
        <w:rPr>
          <w:rFonts w:ascii="Times New Roman" w:hAnsi="Times New Roman" w:cs="Times New Roman" w:eastAsia="黑体" w:hint="eastAsia"/>
          <w:sz w:val="26"/>
        </w:rPr>
        <w:instrText xml:space="preserve"> HYPERLINK \l "ch_4" </w:instrText>
      </w:r>
      <w:r>
        <w:fldChar w:fldCharType="separate"/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26"/>
        </w:rPr>
        <w:t>四、Lattice 架构与功能</w:t>
      </w:r>
      <w:r>
        <w:rPr>
          <w:rFonts w:ascii="Times New Roman" w:hAnsi="Times New Roman" w:cs="Times New Roman" w:eastAsia="Times New Roman" w:hint="eastAsia"/>
          <w:b/>
          <w:i w:val="0"/>
          <w:color w:val="12233B"/>
          <w:sz w:val="26"/>
        </w:rPr>
        <w:tab/>
        <w:t>7</w:t>
      </w:r>
      <w:r>
        <w:fldChar w:fldCharType="end"/>
      </w:r>
    </w:p>
    <w:p>
      <w:pPr>
        <w:tabs>
          <w:tab w:val="right" w:leader="dot" w:pos="9070"/>
        </w:tabs>
        <w:spacing w:line="480" w:lineRule="exact" w:before="80" w:after="0"/>
        <w:ind w:left="0"/>
        <w:jc w:val="left"/>
      </w:pPr>
      <w:r>
        <w:fldChar w:fldCharType="begin"/>
      </w:r>
      <w:r>
        <w:rPr>
          <w:rFonts w:ascii="Times New Roman" w:hAnsi="Times New Roman" w:cs="Times New Roman" w:eastAsia="黑体" w:hint="eastAsia"/>
          <w:sz w:val="26"/>
        </w:rPr>
        <w:instrText xml:space="preserve"> HYPERLINK \l "ch_5" </w:instrText>
      </w:r>
      <w:r>
        <w:fldChar w:fldCharType="separate"/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26"/>
        </w:rPr>
        <w:t>五、Maven 架构与功能</w:t>
      </w:r>
      <w:r>
        <w:rPr>
          <w:rFonts w:ascii="Times New Roman" w:hAnsi="Times New Roman" w:cs="Times New Roman" w:eastAsia="Times New Roman" w:hint="eastAsia"/>
          <w:b/>
          <w:i w:val="0"/>
          <w:color w:val="12233B"/>
          <w:sz w:val="26"/>
        </w:rPr>
        <w:tab/>
        <w:t>9</w:t>
      </w:r>
      <w:r>
        <w:fldChar w:fldCharType="end"/>
      </w:r>
    </w:p>
    <w:p>
      <w:pPr>
        <w:tabs>
          <w:tab w:val="right" w:leader="dot" w:pos="9070"/>
        </w:tabs>
        <w:spacing w:line="480" w:lineRule="exact" w:before="80" w:after="0"/>
        <w:ind w:left="0"/>
        <w:jc w:val="left"/>
      </w:pPr>
      <w:r>
        <w:fldChar w:fldCharType="begin"/>
      </w:r>
      <w:r>
        <w:rPr>
          <w:rFonts w:ascii="Times New Roman" w:hAnsi="Times New Roman" w:cs="Times New Roman" w:eastAsia="黑体" w:hint="eastAsia"/>
          <w:sz w:val="26"/>
        </w:rPr>
        <w:instrText xml:space="preserve"> HYPERLINK \l "ch_6" </w:instrText>
      </w:r>
      <w:r>
        <w:fldChar w:fldCharType="separate"/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26"/>
        </w:rPr>
        <w:t>六、能力评估</w:t>
      </w:r>
      <w:r>
        <w:rPr>
          <w:rFonts w:ascii="Times New Roman" w:hAnsi="Times New Roman" w:cs="Times New Roman" w:eastAsia="Times New Roman" w:hint="eastAsia"/>
          <w:b/>
          <w:i w:val="0"/>
          <w:color w:val="12233B"/>
          <w:sz w:val="26"/>
        </w:rPr>
        <w:tab/>
        <w:t>11</w:t>
      </w:r>
      <w:r>
        <w:fldChar w:fldCharType="end"/>
      </w:r>
    </w:p>
    <w:p>
      <w:pPr>
        <w:tabs>
          <w:tab w:val="right" w:leader="dot" w:pos="9070"/>
        </w:tabs>
        <w:spacing w:line="480" w:lineRule="exact" w:before="80" w:after="0"/>
        <w:ind w:left="0"/>
        <w:jc w:val="left"/>
      </w:pPr>
      <w:r>
        <w:fldChar w:fldCharType="begin"/>
      </w:r>
      <w:r>
        <w:rPr>
          <w:rFonts w:ascii="Times New Roman" w:hAnsi="Times New Roman" w:cs="Times New Roman" w:eastAsia="黑体" w:hint="eastAsia"/>
          <w:sz w:val="26"/>
        </w:rPr>
        <w:instrText xml:space="preserve"> HYPERLINK \l "ch_7" </w:instrText>
      </w:r>
      <w:r>
        <w:fldChar w:fldCharType="separate"/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26"/>
        </w:rPr>
        <w:t>七、合作分工与集成</w:t>
      </w:r>
      <w:r>
        <w:rPr>
          <w:rFonts w:ascii="Times New Roman" w:hAnsi="Times New Roman" w:cs="Times New Roman" w:eastAsia="Times New Roman" w:hint="eastAsia"/>
          <w:b/>
          <w:i w:val="0"/>
          <w:color w:val="12233B"/>
          <w:sz w:val="26"/>
        </w:rPr>
        <w:tab/>
        <w:t>13</w:t>
      </w:r>
      <w:r>
        <w:fldChar w:fldCharType="end"/>
      </w:r>
    </w:p>
    <w:p>
      <w:pPr>
        <w:tabs>
          <w:tab w:val="right" w:leader="dot" w:pos="9070"/>
        </w:tabs>
        <w:spacing w:line="480" w:lineRule="exact" w:before="80" w:after="0"/>
        <w:ind w:left="0"/>
        <w:jc w:val="left"/>
      </w:pPr>
      <w:r>
        <w:fldChar w:fldCharType="begin"/>
      </w:r>
      <w:r>
        <w:rPr>
          <w:rFonts w:ascii="Times New Roman" w:hAnsi="Times New Roman" w:cs="Times New Roman" w:eastAsia="黑体" w:hint="eastAsia"/>
          <w:sz w:val="26"/>
        </w:rPr>
        <w:instrText xml:space="preserve"> HYPERLINK \l "ch_8" </w:instrText>
      </w:r>
      <w:r>
        <w:fldChar w:fldCharType="separate"/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26"/>
        </w:rPr>
        <w:t>八、国家层面布局</w:t>
      </w:r>
      <w:r>
        <w:rPr>
          <w:rFonts w:ascii="Times New Roman" w:hAnsi="Times New Roman" w:cs="Times New Roman" w:eastAsia="Times New Roman" w:hint="eastAsia"/>
          <w:b/>
          <w:i w:val="0"/>
          <w:color w:val="12233B"/>
          <w:sz w:val="26"/>
        </w:rPr>
        <w:tab/>
        <w:t>16</w:t>
      </w:r>
      <w:r>
        <w:fldChar w:fldCharType="end"/>
      </w:r>
    </w:p>
    <w:p>
      <w:pPr>
        <w:tabs>
          <w:tab w:val="right" w:leader="dot" w:pos="9070"/>
        </w:tabs>
        <w:spacing w:line="480" w:lineRule="exact" w:before="80" w:after="0"/>
        <w:ind w:left="0"/>
        <w:jc w:val="left"/>
      </w:pPr>
      <w:r>
        <w:fldChar w:fldCharType="begin"/>
      </w:r>
      <w:r>
        <w:rPr>
          <w:rFonts w:ascii="Times New Roman" w:hAnsi="Times New Roman" w:cs="Times New Roman" w:eastAsia="黑体" w:hint="eastAsia"/>
          <w:sz w:val="26"/>
        </w:rPr>
        <w:instrText xml:space="preserve"> HYPERLINK \l "ch_9" </w:instrText>
      </w:r>
      <w:r>
        <w:fldChar w:fldCharType="separate"/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26"/>
        </w:rPr>
        <w:t>九、合同与经费统计</w:t>
      </w:r>
      <w:r>
        <w:rPr>
          <w:rFonts w:ascii="Times New Roman" w:hAnsi="Times New Roman" w:cs="Times New Roman" w:eastAsia="Times New Roman" w:hint="eastAsia"/>
          <w:b/>
          <w:i w:val="0"/>
          <w:color w:val="12233B"/>
          <w:sz w:val="26"/>
        </w:rPr>
        <w:tab/>
        <w:t>18</w:t>
      </w:r>
      <w:r>
        <w:fldChar w:fldCharType="end"/>
      </w:r>
    </w:p>
    <w:p>
      <w:pPr>
        <w:tabs>
          <w:tab w:val="right" w:leader="dot" w:pos="9070"/>
        </w:tabs>
        <w:spacing w:line="480" w:lineRule="exact" w:before="80" w:after="0"/>
        <w:ind w:left="0"/>
        <w:jc w:val="left"/>
      </w:pPr>
      <w:r>
        <w:fldChar w:fldCharType="begin"/>
      </w:r>
      <w:r>
        <w:rPr>
          <w:rFonts w:ascii="Times New Roman" w:hAnsi="Times New Roman" w:cs="Times New Roman" w:eastAsia="黑体" w:hint="eastAsia"/>
          <w:sz w:val="26"/>
        </w:rPr>
        <w:instrText xml:space="preserve"> HYPERLINK \l "ch_10" </w:instrText>
      </w:r>
      <w:r>
        <w:fldChar w:fldCharType="separate"/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26"/>
        </w:rPr>
        <w:t>十、研判与关注</w:t>
      </w:r>
      <w:r>
        <w:rPr>
          <w:rFonts w:ascii="Times New Roman" w:hAnsi="Times New Roman" w:cs="Times New Roman" w:eastAsia="Times New Roman" w:hint="eastAsia"/>
          <w:b/>
          <w:i w:val="0"/>
          <w:color w:val="12233B"/>
          <w:sz w:val="26"/>
        </w:rPr>
        <w:tab/>
        <w:t>21</w:t>
      </w:r>
      <w:r>
        <w:fldChar w:fldCharType="end"/>
      </w:r>
    </w:p>
    <w:p>
      <w:pPr>
        <w:sectPr>
          <w:footerReference w:type="default" r:id="rId10"/>
          <w:footerReference w:type="first" r:id="rId11"/>
          <w:footerReference w:type="even" r:id="rId12"/>
          <w:pgSz w:w="11906" w:h="16838"/>
          <w:pgMar w:top="1474" w:right="1417" w:bottom="1361" w:left="1417" w:header="680" w:footer="624" w:gutter="0"/>
          <w:cols w:space="720"/>
          <w:docGrid w:linePitch="360"/>
        </w:sectPr>
      </w:pPr>
    </w:p>
    <w:p>
      <w:pPr>
        <w:pBdr>
          <w:bottom w:val="single" w:sz="12" w:space="4" w:color="A8842F"/>
        </w:pBdr>
        <w:spacing w:before="0" w:after="4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44"/>
        </w:rPr>
        <w:t>析光 XIGUANG</w:t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2"/>
        </w:rPr>
        <w:t xml:space="preserve">　｜　鸿眼·科研情报刊物　特情 · 2026年10月</w:t>
      </w:r>
    </w:p>
    <w:p>
      <w:pPr>
        <w:spacing w:before="120" w:after="16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A8842F"/>
          <w:sz w:val="22"/>
        </w:rPr>
        <w:t>◆ 体系研判｜SYSTEM</w:t>
      </w:r>
    </w:p>
    <w:p>
      <w:pPr>
        <w:spacing w:line="640" w:lineRule="exact" w:before="240" w:after="80"/>
        <w:jc w:val="center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40"/>
        </w:rPr>
        <w:t>算法战双核</w:t>
      </w:r>
    </w:p>
    <w:p>
      <w:pPr>
        <w:spacing w:line="480" w:lineRule="exact" w:before="0" w:after="12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8"/>
        </w:rPr>
        <w:t>——美军“边缘神经网”与“目标工厂”精要版（总结·概括·架构·统计·观点）</w:t>
      </w:r>
    </w:p>
    <w:p>
      <w:pPr>
        <w:spacing w:line="40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2"/>
        </w:rPr>
        <w:t>文｜无人体系中心科技情报组（鸿眼）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02" w:name="ch_1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一、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总体结论</w:t>
      </w:r>
      <w:bookmarkEnd w:id="102"/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Lattice 与 Maven 智能系统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6"/>
        </w:rPr>
        <w:t>（MSS）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是美军 AI 杀伤链上分工不同、深度耦合的两套核心软件。MSS 是政府定义、由 Palantir 平台承载的企业级目标生成与管理系统，解决“打什么、按什么顺序打”；Lattice 是 Anduril 自有、以边缘为先的传感器—效应器网格与自主操作系统，解决“派谁在几秒内去打”。两者的地位主要由采购决策和战争使用确立，扩张明显先于独立评估。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本报告为《Lattice 与 Maven 两系统深度调研》的精要版，事实均取自完整版，数据截至 2026 年 10 月 10 日。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图1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汇集两系统最关键的十二个数字。Anduril 一侧多为估值、营收、合同上限和节点数量，Maven 一侧多为用户数、合同上限、预算申请和战役总量，两类数字计量对象不同，不宜横向比较；合同数字均为上限，不代表已发生的支出。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在国家布局中，两家均处于中间层：MSS 在 AI 指挥控制主线，Lattice 在规模化无人系统主线。FY2027 自主作战群约 546 亿美元申请的落地规模，是 Lattice 增长的最大变量。“MSS 提名、Lattice 执行”的端到端管线目前仍属分析性构建，其中最薄弱的环节是两系统之间未公开的接口。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563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kp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563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03" w:name="fig_1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两系统关键数字看板</w:t>
      </w:r>
      <w:bookmarkEnd w:id="103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来源：本报告依据公开报道、官方公告与公司披露整理；合同上限不等于实际拨付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160" w:after="0"/>
        <w:ind w:left="240" w:right="12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A8842F"/>
          <w:sz w:val="26"/>
        </w:rPr>
        <w:t>核心判断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①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MSS 有独立预算线，正转为正式项目，用户超过 10 万；Lattice 无单列预算线，作为软件内核嵌入众多项目。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②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两家分工稳定：边缘与执行归 Anduril，企业与决策归 Palantir；陆军 NGC2 是合作锚点。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③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合作并不排他：两家在北约 eAirC2 评估中与法国 Athea 正面竞争，预计约 2027 年春选型。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④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合同已演进为“企业协议加任务订单”，陆军两份十年期协议上限分别为 100 亿、200 亿美元，锁定加深。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⑤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MSS 已证实省人提速，准确性未获证实；Lattice 定量效能多为公司口径，乌克兰实战结果为负面。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20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⑥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主要风险为网络安全、自动化偏差、电子战下的可靠性和供应商锁定，两系统间接口不公开是最薄弱环节。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04" w:name="ch_2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二、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两系统一览</w:t>
      </w:r>
      <w:bookmarkEnd w:id="104"/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两系统的区别可概括为：MSS 是“政府拥有项目、企业提供平台”的企业级情报融合与目标工作流系统，Lattice 是“企业拥有平台、政府购买使用权”的边缘网格与自主操作系统；两者在出身、层级、形态和商业模式上基本互补。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Lattice 于 2017 年随 Anduril 创立推出，起步于美墨边境监视塔的传感器融合，2026 年成为美陆军 NGC2 通用数据层和陆军 200 亿美元企业协议的核心。Maven 源自 2017 年国防部“算法战跨职能小组”，经谷歌退出、演习孵化和 2022 年拆分改组，发展为以 Palantir 软件为主体、覆盖全部作战司令部和北约盟军作战司令部的 AI 指挥控制与目标定位平台。“Maven”目前对应两条线：NGA 主导的 GEOINT 模型流水线，以及 CDAO 主管、陆军承担合同、Palantir 提供平台的作战系统 MSS。本报告中“Maven”泛指整条项目线，涉及具体系统时分别写明。在杀伤链上，MSS 覆盖发现、定位、瞄准和评估，负责目标提名、排序与资产配对；Lattice 覆盖探测、跟踪和交战，负责效应器派遣与自主执行。两者的本质区别在于项目与组件之分：MSS 有独立预算线，Lattice 没有单列预算线，作为软件内核嵌入反无人机、指挥控制、太空监视等众多项目。</w:t>
      </w:r>
    </w:p>
    <w:p>
      <w:pPr>
        <w:keepNext/>
        <w:spacing w:line="400" w:lineRule="exact" w:before="160" w:after="80"/>
        <w:jc w:val="center"/>
      </w:pPr>
      <w:bookmarkStart w:id="105" w:name="tab_1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两系统基本情况对照</w:t>
      </w:r>
      <w:bookmarkEnd w:id="105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360"/>
        <w:gridCol w:w="3855"/>
        <w:gridCol w:w="3855"/>
      </w:tblGrid>
      <w:tr>
        <w:trPr>
          <w:cantSplit/>
          <w:tblHeader/>
        </w:trPr>
        <w:tc>
          <w:tcPr>
            <w:tcW w:w="1360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项目</w:t>
            </w:r>
          </w:p>
        </w:tc>
        <w:tc>
          <w:tcPr>
            <w:tcW w:w="3855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Lattice（Anduril）</w:t>
            </w:r>
          </w:p>
        </w:tc>
        <w:tc>
          <w:tcPr>
            <w:tcW w:w="3855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Maven 智能系统（Palantir 平台）</w:t>
            </w:r>
          </w:p>
        </w:tc>
      </w:tr>
      <w:tr>
        <w:trPr>
          <w:cantSplit/>
        </w:trPr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起源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2017 年随 Anduril 成立；首个用例为 CBP 边境监视塔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2017-04-26 沃克备忘录成立算法战跨职能小组</w:t>
            </w:r>
          </w:p>
        </w:tc>
      </w:tr>
      <w:tr>
        <w:trPr>
          <w:cantSplit/>
        </w:trPr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归属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Anduril 自有知识产权；开放接口、封闭实现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政府项目；CDAO 主管，陆军承担合同，Palantir 为平台商</w:t>
            </w:r>
          </w:p>
        </w:tc>
      </w:tr>
      <w:tr>
        <w:trPr>
          <w:cantSplit/>
        </w:trPr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定位与层级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边缘网格与自主操作系统；探测、跟踪、交战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企业级情报融合与目标工作流；发现、定位、瞄准、评估</w:t>
            </w:r>
          </w:p>
        </w:tc>
      </w:tr>
      <w:tr>
        <w:trPr>
          <w:cantSplit/>
        </w:trPr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部署形态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边缘优先，DDIL 网状网格；Menace 便携节点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企业云优先；3 个安全域、SIPRNet IL6、北约涉密网</w:t>
            </w:r>
          </w:p>
        </w:tc>
      </w:tr>
      <w:tr>
        <w:trPr>
          <w:cantSplit/>
        </w:trPr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用户/客户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CBP、SOCOM、陆战队、陆军、CDAO、太空军、空军 CCA、北约（评估）等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联合参谋部、全部作战司令部、各军种、北约 ACO；用户 10 万以上</w:t>
            </w:r>
          </w:p>
        </w:tc>
      </w:tr>
      <w:tr>
        <w:trPr>
          <w:cantSplit/>
        </w:trPr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核心合同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陆军企业协议上限 200 亿美元；NGC2 扩展上限 18 亿美元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陆军企业协议上限 100 亿美元；MSS 主合同上限约 12.75 亿美元</w:t>
            </w:r>
          </w:p>
        </w:tc>
      </w:tr>
      <w:tr>
        <w:trPr>
          <w:cantSplit/>
        </w:trPr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现状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陆军反无人机与 NGC2 核心数据层；首个北约合同</w:t>
            </w:r>
          </w:p>
        </w:tc>
        <w:tc>
          <w:tcPr>
            <w:tcW w:w="385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转为正式项目；伊朗战事中大规模使用；北约版达到全面作战能力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来源：本报告依据完整版第一至三章整理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图2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标注了两系统可公开核实的部署与案例。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Maven 的足迹分布在总部和战区，Lattice 的足迹分布在边境、基地、平台和工厂。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Maven 点位集中于 NGA 总部、布拉格堡、威斯巴登、北约 SHAPE 以及伊拉克/叙利亚、红海/也门和伊朗；Lattice 点位集中于美国本土边境与试验场、盟国平台与生产基地、对抗性实战或演习环境。两类点位明确重合之处仅有美国陆军体系和北约，前者是两家合作最深之处，后者是两家竞争最直接之处。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911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worl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11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06" w:name="fig_2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2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Lattice 与 Maven 全球部署与案例分布</w:t>
      </w:r>
      <w:bookmarkEnd w:id="106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来源：本报告依据各章所引公开报道绘制；编号位置为示意，关岛条目来源可信度低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07" w:name="ch_3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三、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前世今生</w:t>
      </w:r>
      <w:bookmarkEnd w:id="107"/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两系统均于 2017 年起步，用九年时间由试点发展为军种级或全军级骨干。Lattice 走的是“国土安全正式项目→国防部集成内核→开放平台→军种数据层”的企业路线，Maven 走的是“探路者项目→演习孵化→拆分改组→全军正式项目”的政府路线。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44749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tim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47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08" w:name="fig_3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3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Lattice 与 Maven 竖排双栏大事记（2017—2026）</w:t>
      </w:r>
      <w:bookmarkEnd w:id="108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来源：本报告依据各章所引资料绘制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Lattice 最初运行于 CBP 的 Sentry 监视塔，2020 年自主监视塔成为 CBP 正式采购项目，2024 年 9 月部署第 300 座。2022 年 SOCOM 选定 Anduril 为反无人系统集成伙伴，10 年期 IDIQ 上限 9.676 亿美元，Lattice 首次以集成内核身份进入国防部。2023 年推出任务自主产品 LMA，设计目标是由“多人操控一机”转向“一人操控多机”，EDGE23 演习中单兵指挥多型无人机完成打击；2024 年 12 月一周内获得 CDAO 1 亿美元边缘数据网格 OTA、宣布与 Palantir 合作、公开发布 SDK。2025 年相继获得陆战队设施反小型无人机合同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（上限 6.42 亿美元）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、NGC2 第 4 步兵师原型 OTA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（9,960 万美元）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，并被陆军选定为 IBCS-M 反无人机火控；2026 年陆军企业协议、NGC2 基线和扩展合同落地，并以 Lattice 获得首个北约合同。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Maven 于 2017 年 4 月立项，约两个月内获国会约 7,000 万美元；12 月首个算法部署中东，用于识别 ScanEagle 视频中的物体，从立项到上线约 8 个月。2018 年数千名谷歌员工请愿反对，谷歌宣布合同到期后不再续约，ECS、微软、AWS 等随即填补空缺。2020 年起，XVIII 空降军通过“猩红之龙”演习与多达 70 家公司合作，将其改造为整合传感器、目标识别和火力分配的 MSS。2022—2023 年 GEOINT 部分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（约 80％）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移交 NGA、其余移交新成立的 CDAO，2023 年 11 月 NGA Maven 成为正式采购项目。2024—2025 年 Palantir 成为主承包商，MSS 合同上限增至约 12.75 亿美元，北约完成 MSS NATO 采购。2026 年 Feinberg 备忘录要求 MSS 于 FY2026 末转为正式项目、管理权归 CDAO；对伊朗作战期间用户由约 5 万增至 10 万以上。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Maven 的管理归属先后经历 OUSD(I&amp;S）、NGA 与 CDAO 分治、CDAO 统管三个阶段，每次调整均伴随规模跃升。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截至 2026 年 10 月，MSS 是否按期完成正式项目转换，尚未见国防部官方确认。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09" w:name="ch_4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四、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Lattice 架构与功能</w:t>
      </w:r>
      <w:bookmarkEnd w:id="109"/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Lattice 的核心是一套“实体加任务”的军事化数据模型和一张可在拒止环境下运行的点对点网格：任何传感器或武器按公开接口接入即可进入杀伤链；在全部公开案例中，武器释放仍由人批准。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图4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将 Lattice 分为传感器与效应器、边缘计算与通信、Lattice Mesh、核心服务、API 与 SDK、应用六层。第④、⑤层依据官方 SDK 源码，属一手证据；第①—③层部分依据专利与公司材料推断。Lattice Mesh 专利写明“实时数据优先，回填只用剩余带宽”，普通节点密钥只存于内存。边缘硬件 Menace-T/X 基于收购的 Klas Voyager 坚固计算设备，一人数分钟即可架设，同时是 Palantir 边缘软件的首选硬件。SDK 于 2024-12-10 公开，定义生产者、消费者和可受领任务的代理三种接入模式，分别面向传感器厂商、应用开发者和无人平台/武器厂商。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8509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lattice_ar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85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0" w:name="fig_4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4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Lattice 六层架构与部署形态示意</w:t>
      </w:r>
      <w:bookmarkEnd w:id="110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 Anduril SDK 源码、Lattice Mesh 专利与公开报道绘制；①—③层含推断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Lattice 以实体为中心构建共用作战图，航迹、己方资产、地理区域、信号均为实体。实体须设定不超过 30 天的过期时间；敌我属性采用与美军和北约基本一致的七值枚举；航迹质量分 0—15 级；每个实体可逐字段标注密级。任务生命周期共 14 种状态，沿用战术通信的确认语义；资产在“能力目录”中自报可执行任务，新平台接入后即可被调度。陆军 IBCS-M 试验中数小时内接入此前未公开的传感器和效应器，即是这一机制的体现。SDK 许可禁止构建不兼容的实现，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政府获得的是使用权和接口，并无政府所有的参考实现。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公开交战案例中开火决定均由人作出。陆战队称 Anvil 可自主跟踪，但只在操作员下令后拦截；EDGE23 演习中由人授权打击，再由软件自动改派侦察进行毁伤评估。据此推断，机动、感知和资源调度为“人在回路上”，武器释放为“人在回路中”。交战规则配置、DoDD 3000.09 落实方式、授权运行等级和 IL5/IL6 认证均未见公开信息，</w:t>
      </w: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这是 Lattice 最大的公开信息空白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11" w:name="ch_5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五、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Maven 架构与功能</w:t>
      </w:r>
      <w:bookmarkEnd w:id="111"/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MSS 的架构可概括为“Palantir 平台加可插拔的模型与数据”：政府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6"/>
        </w:rPr>
        <w:t>（NGA）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掌握模型流水线，Palantir 掌握数据本体与工作流，第三方计算机视觉模型和大模型均可替换。MSS 压缩的是人工寻找目标、排序目标和比选资产的时间，武器飞行和毁伤所需时间不受影响。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图5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为我部依据公开资料归纳的七层架构，并非官方架构文件。数据源层接入卫星、商业 SAR、信号情报和无人机视频，中央司令部 2024 年的部署共接入 179 个数据源。模型流水线由 NGA 负责，数据标注合同为 Enabled Intelligence 的 SEQUOIA，上限 7.08 亿美元。Palantir 平台以本体将数据映射为对象和“动作”，可把决策写回业务系统和边缘系统。MSS 跨 3 个安全域运行，北约版运行于北约涉密网。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9455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maven_arc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4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2" w:name="fig_5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5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Maven / MSS 七层架构</w:t>
      </w:r>
      <w:bookmarkEnd w:id="112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 Palantir 官方文档、NGA 合同公告、CSIS、DefenseScoop、SHAPE 等资料整理绘制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“模型归政府、平台归企业”的安排使政府对训练数据和模型评估保有控制权，代价是两条线之间需要稳定接口和跨机构协调。NGA 在 AI 生成的 GEOINT 产品上加注“机器生成”标签，是目前为数不多的制度化治理措施。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Target Workbench 是 MSS 最具代表性的模块。界面按看板组织，各列对应目标定位流程阶段，并集成禁打清单；操作员选中 AI 检测出的目标，按到达时间、距离、燃油等约束比较打击资产，下令后再用 ISR 跟踪效果。自动化重心在发现、定位和排序；射击诸元仍由 AFATDS 等存量系统解算。看板把多级会议式流程改为可视、并行流程，这是效率数字背后的机制，也使单个目标获得的人工关注减少。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大模型层可以替换，主要用于检索、摘要、排序和草拟。北约称 MSS NATO 包含大语言模型和生成式 AI。美军 MSS 中大模型的作用，各方报道分歧较大：有报道称内嵌 Claude 的 MSS 在伊朗作战中为目标排序并建议武器，也有报道称其主要用于将情报报告转为通俗语言；2026 年 3 月 Anthropic 被列为供应链风险后，其去留说法相互矛盾。伊朗战事期间按 token 计的日峰值增长 4,425％，最高约 200 亿 token/天。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13" w:name="ch_6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六、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能力评估</w:t>
      </w:r>
      <w:bookmarkEnd w:id="113"/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两系统获多源证实的都是系统级价值，即 MSS 的多源融合与目标吞吐、Lattice 的快速集成与数据层地位；仍属声称的都是效能级数字；疑点集中在识别准确率、拒止环境韧性和网络安全。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我部将证据分为三级：已证实，包括政府合同、官方公告、独立媒体报道和官方 SDK 源码；官方或公司声称，包括新闻稿、高管表态和仅有单方来源的演习与战役数据；存疑或有反证，包括口径冲突、弱源说法以及失败和事故记录。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图6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按九个能力项列出两系统的证据等级。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1769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capmatri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76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4" w:name="fig_6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6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两系统能力证据矩阵</w:t>
      </w:r>
      <w:bookmarkEnd w:id="114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来源：本报告依据公开资料评定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MSS 已证实的是省人提速：XVIII 空降军约 20 人的目标单元达到 2003 年 2,000 多人单元的效能，一名目标官每小时签批目标由约 30 个增至约 80 个。2024 年 2 月，MSS 参与对伊拉克、叙利亚 85 次以上打击的目标筛选，用户在 16 个月内增长约 5 倍。官方称伊朗战役 38 天打击约 13,000 个目标，但这是打击总量，并非 Maven 识别量。存疑之处在精度：测试识别正确率约 60％，人类约 84％，2026 年版本无公开数据；Minab 学校遇袭事件暴露出“过期数据加自动化偏差加人工审查缩减”的失败链条。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Lattice 的硬证据是采购选择：SOCOM、陆战队、陆军、CDAO、太空军、CBP 和北约均经竞争或评估选择了它，IBCS-M 尤马 7 天试验中数小时内接入新传感器与效应器，实弹拦截 4 中 4。“火力时间线缩短 90％”、Ivy Sting 5 连接 65 个以上边缘节点并在卫星通信失效时继续工作等效能数字，均为公司口径。反证包括：乌克兰 Ghost 受干扰严重、ALTIUS 于 2024 年停用，海军演习中十余艘由 Lattice C2 控制的无人艇失灵，陆军 CTO 将 NGC2 原型评为“极高风险”。</w:t>
      </w:r>
    </w:p>
    <w:p>
      <w:pPr>
        <w:keepNext/>
        <w:spacing w:line="400" w:lineRule="exact" w:before="160" w:after="80"/>
        <w:jc w:val="center"/>
      </w:pPr>
      <w:bookmarkStart w:id="115" w:name="tab_2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2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关键性能数字与口径</w:t>
      </w:r>
      <w:bookmarkEnd w:id="115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701"/>
        <w:gridCol w:w="907"/>
        <w:gridCol w:w="3288"/>
        <w:gridCol w:w="3175"/>
      </w:tblGrid>
      <w:tr>
        <w:trPr>
          <w:cantSplit/>
          <w:tblHeader/>
        </w:trPr>
        <w:tc>
          <w:tcPr>
            <w:tcW w:w="1701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指标</w:t>
            </w:r>
          </w:p>
        </w:tc>
        <w:tc>
          <w:tcPr>
            <w:tcW w:w="907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系统</w:t>
            </w:r>
          </w:p>
        </w:tc>
        <w:tc>
          <w:tcPr>
            <w:tcW w:w="3288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数值</w:t>
            </w:r>
          </w:p>
        </w:tc>
        <w:tc>
          <w:tcPr>
            <w:tcW w:w="3175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口径与证据性质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目标签批吞吐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MSS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每小时约 30 个 → 约 80 个</w:t>
            </w:r>
          </w:p>
        </w:tc>
        <w:tc>
          <w:tcPr>
            <w:tcW w:w="317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一名目标官个人估计，仅为审批环节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目标单元人力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MSS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约 20 人 ≈ 2003 年 2,000 多人单元</w:t>
            </w:r>
          </w:p>
        </w:tc>
        <w:tc>
          <w:tcPr>
            <w:tcW w:w="317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演习对比，条件不同，属数量级示意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识别正确率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MSS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约 60％（人类约 84％），恶劣条件低于 30％</w:t>
            </w:r>
          </w:p>
        </w:tc>
        <w:tc>
          <w:tcPr>
            <w:tcW w:w="317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2023—2024 年测试；2026 版无公开数据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战役总量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MSS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38 天打击约 13,000 个目标</w:t>
            </w:r>
          </w:p>
        </w:tc>
        <w:tc>
          <w:tcPr>
            <w:tcW w:w="317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官方总量，非 Maven 识别量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用户规模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MSS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 万以上（2025-05）→ 10 万以上（2026-09）</w:t>
            </w:r>
          </w:p>
        </w:tc>
        <w:tc>
          <w:tcPr>
            <w:tcW w:w="317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官员口径；注册与活跃口径不一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反无人机实弹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Lattice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IBCS-M 尤马试验拦截 4 中 4</w:t>
            </w:r>
          </w:p>
        </w:tc>
        <w:tc>
          <w:tcPr>
            <w:tcW w:w="317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官方公告；测试条件未披露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火力时间线与网格</w:t>
            </w:r>
          </w:p>
        </w:tc>
        <w:tc>
          <w:tcPr>
            <w:tcW w:w="90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Lattice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缩短 90％；2,500 余台终端；65 个以上节点</w:t>
            </w:r>
          </w:p>
        </w:tc>
        <w:tc>
          <w:tcPr>
            <w:tcW w:w="3175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公司口径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来源：本报告依据完整版第一、二、六章整理；“公司/官方口径”指无独立审计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两系统的共同特征是扩张先于独立评估。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我部未检索到 GAO 或国防部监察长针对 MSS 或 NGC2 的独立评估。对“缩短 90％”“13,000 个目标”一类数字，应先核实统计对象、发布方以及有无独立审计。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16" w:name="ch_7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七、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合作分工与集成</w:t>
      </w:r>
      <w:bookmarkEnd w:id="116"/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Anduril 与 Palantir 的关系可概括为“项目制组队加分别锁定”：在五个指挥层级上形成“边缘与执行归 Anduril、企业与决策归 Palantir”的稳定分工，陆军 NGC2 是集成最深之处；由谁担任主承包商，取决于项目重心在边缘还是在企业。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Anduril 联合创始人中有三人出自 Palantir。2024-12-06 的合作公告给出两条机制：Lattice 与 Menace 对战术边缘“仪表化”，由 Palantir AIP 整理为可训练 AI 的数据；MSS 与 Lattice 结合，提供“从边缘到企业”的作战能力。Inside Defense 将两者分别概括为“企业级任务指挥平台”和“直接集成机器人系统的边缘任务自主平台”。同月报道的多公司投标财团未见成立证据；合作实际以项目制团队形式出现，如 NGC2 的 Team Anduril、金穹 C2 产业联盟，以及主从角色互换的 TITAN 地面站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（Palantir 主承 1.27 亿美元、Anduril 分得 6,500 万美元）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7366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divis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73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7" w:name="fig_7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7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Palantir（企业与决策）—Anduril（边缘与执行）分层分工</w:t>
      </w:r>
      <w:bookmarkEnd w:id="117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 2024-12 合作公告、NGC2 基线及各项目公开资料绘制</w:t>
      </w:r>
    </w:p>
    <w:p>
      <w:pPr>
        <w:keepNext/>
        <w:spacing w:line="400" w:lineRule="exact" w:before="160" w:after="80"/>
        <w:jc w:val="center"/>
      </w:pPr>
      <w:bookmarkStart w:id="118" w:name="tab_3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3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两家分层角色与交汇证据</w:t>
      </w:r>
      <w:bookmarkEnd w:id="118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474"/>
        <w:gridCol w:w="2608"/>
        <w:gridCol w:w="2608"/>
        <w:gridCol w:w="2381"/>
      </w:tblGrid>
      <w:tr>
        <w:trPr>
          <w:cantSplit/>
          <w:tblHeader/>
        </w:trPr>
        <w:tc>
          <w:tcPr>
            <w:tcW w:w="147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层级</w:t>
            </w:r>
          </w:p>
        </w:tc>
        <w:tc>
          <w:tcPr>
            <w:tcW w:w="2608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Palantir</w:t>
            </w:r>
          </w:p>
        </w:tc>
        <w:tc>
          <w:tcPr>
            <w:tcW w:w="2608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Anduril</w:t>
            </w:r>
          </w:p>
        </w:tc>
        <w:tc>
          <w:tcPr>
            <w:tcW w:w="2381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交汇证据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国家/联合层</w:t>
            </w:r>
          </w:p>
        </w:tc>
        <w:tc>
          <w:tcPr>
            <w:tcW w:w="260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MSS 为 CJADC2 事实骨干；MSS NATO</w:t>
            </w:r>
          </w:p>
        </w:tc>
        <w:tc>
          <w:tcPr>
            <w:tcW w:w="260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Thunderforge 数据共享层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CDAO 同时持有两系统合同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战区/军种企业层</w:t>
            </w:r>
          </w:p>
        </w:tc>
        <w:tc>
          <w:tcPr>
            <w:tcW w:w="260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Vantage、DCGS-A、陆军企业协议</w:t>
            </w:r>
          </w:p>
        </w:tc>
        <w:tc>
          <w:tcPr>
            <w:tcW w:w="260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金穹 C2 联盟；天基拦截器原型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金穹 C2“胶水层”共同开发（报道）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军/师级指挥层</w:t>
            </w:r>
          </w:p>
        </w:tc>
        <w:tc>
          <w:tcPr>
            <w:tcW w:w="260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Foundry、Target Workbench</w:t>
            </w:r>
          </w:p>
        </w:tc>
        <w:tc>
          <w:tcPr>
            <w:tcW w:w="260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Lattice Mesh、AXS、Menace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NGC2 基线“Lattice + Foundry”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旅/营/连战术层</w:t>
            </w:r>
          </w:p>
        </w:tc>
        <w:tc>
          <w:tcPr>
            <w:tcW w:w="260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MSS 向陆战队下延</w:t>
            </w:r>
          </w:p>
        </w:tc>
        <w:tc>
          <w:tcPr>
            <w:tcW w:w="260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JIATF-401、I-CsUAS、IBCS-M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未见直接集成证据</w:t>
            </w:r>
          </w:p>
        </w:tc>
      </w:tr>
      <w:tr>
        <w:trPr>
          <w:cantSplit/>
        </w:trPr>
        <w:tc>
          <w:tcPr>
            <w:tcW w:w="147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边缘平台层</w:t>
            </w:r>
          </w:p>
        </w:tc>
        <w:tc>
          <w:tcPr>
            <w:tcW w:w="260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边缘软件、嵌入式本体</w:t>
            </w:r>
          </w:p>
        </w:tc>
        <w:tc>
          <w:tcPr>
            <w:tcW w:w="260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Sentry、Anvil、Fury、Ghost Shark；LMA</w:t>
            </w:r>
          </w:p>
        </w:tc>
        <w:tc>
          <w:tcPr>
            <w:tcW w:w="238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Menace 为 Palantir 边缘首选硬件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来源：本报告依据完整版第四章整理；“报道”指匿名或单一来源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指挥流自上而下：MSS 完成目标发现、排序和交战分配，经 C2 数据层下发至 Lattice 边缘执行。数据流自下而上：边缘数据经 Lattice Mesh 回流至 AIP/Foundry 用于再训练。2024 年合作公告的重点是后者，即通过对边缘仪表化解决数据就绪问题。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2025-07-18，陆军授予 Anduril 9,960 万美元 NGC2 原型 OTA，Palantir 为团队成员。2025 年 9 月 Ivy Sting 1 实弹演习中，第 4 步兵师目标处理流程运行在 Lattice Mesh 和 Target Workbench 上。同月陆军 CTO 备忘录将原型评为“极高风险”，陆军随后称缺陷已缓解。2026-06-22，陆军将“Lattice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（边缘）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+ Foundry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（云）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”定为通用数据层基线，由 Raft 负责注册与联邦；10 月以 5 年期、上限 18 亿美元合同推向第 I 军，目标覆盖全部 11 个师。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478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ngc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47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19" w:name="fig_8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8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陆军 NGC2 三层架构与里程碑</w:t>
      </w:r>
      <w:bookmarkEnd w:id="119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来源：本报告依据陆军、DefenseScoop、Breaking Defense 及 Anduril 公开资料绘制；成员职能部分为示意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我部研判，NGC2 已将两家分工固化为全军基线。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陆军强调避免厂商锁定，实际是吸纳竞争者：Raft 转为伙伴，洛克希德·马丁转为第 25 步兵师实施方。实体与本体如何映射、MSS 是否进入 NGC2，均无公开文件说明。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20" w:name="ch_8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八、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国家层面布局</w:t>
      </w:r>
      <w:bookmarkEnd w:id="120"/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2023—2026 年，美国无人/AI 作战布局沿规模化无人系统、AI 指挥控制、采办体制改革三条主线推进。MSS 处于 AI 指挥控制主线并拥有独立预算线，Lattice 处于规模化无人系统主线并随项目增长，两者在军种 C2 数据层这一中间层交汇。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9770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nation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7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21" w:name="fig_9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9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美国国家层面无人/AI 作战布局（五层 × 五项）</w:t>
      </w:r>
      <w:bookmarkEnd w:id="121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来源：本报告依据行政令、部长备忘录、预算文件与公开报道绘制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规模化无人系统方面，“复制者”计划目标是在 2025 年 8 月前部署数千个可消耗自主系统，2024-11-20 Anduril 与 L3Harris、Swarm Aero 获得“自主协同组队”软件授标；2025 年秋该组合移交自主作战群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（DAWG）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，FY2027 申请经费约 546 亿美元，但有分析称国会委员会只写入约 10 亿美元。“无人机主导权”计划两年内采购约 34 万架小型攻击无人机，公开资料未提及两系统角色，组网协同是 Lattice 的潜在市场。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AI 指挥控制方面，MSS 是 CJADC2 的事实骨干，FY2027 为 MSS 与联合火力网申请 23 亿美元。Lattice 同样处于 CJADC2 之中，CDAO 的 1 亿美元边缘数据网格 OTA 即由 GIDE 原型转化而来。采办改革方面，2025 年第 14265 号行政令和“作战采办体系”改组设立可调剂资金的组合采办执行官，两份陆军企业协议是其在合同层面的体现。在其他布局中，金穹本土导弹防御白宫估算 1,750—1,850 亿美元，据报两家均参加其 C2 产业联盟；空军 CCA 计划 2032 年前至少采购 500 架，Anduril 承担 FQ-44A 生产并进入 LMA 自主软件池。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盟友层面延续国内分工：Palantir 进入北约 ACO 和英国目标网络，Anduril 进入澳大利亚 Ghost Shark、英国 TALOS 等平台与本地化生产。据日经报道，日本考虑将 MSS 与 Lattice 结合并叠加国产 AI 监督层。欧洲的主权担忧是外部主要制约。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两家的合作空间在战役/军种 C2 数据层，这一层也是 Feinberg 备忘录和 FY2027 预算加码最集中的位置。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Palantir 首席技术官 Sankar 任陆军预备役中校、Anduril 高管 Obadal 任陆军副部长，人员流动与“新主承包商”叙事和改革议程方向一致，但没有证据表明存在利益输送。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22" w:name="ch_9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九、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合同与经费统计</w:t>
      </w:r>
      <w:bookmarkEnd w:id="122"/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本报告整理 Anduril 合同与任务 48 项、Maven/Palantir 合同 35 项。两家都从试点起步，经 IDIQ/OTA 进入数亿美元级合同，最终由陆军以结构相同的企业协议整体纳入；Lattice 明示合同上限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6"/>
        </w:rPr>
        <w:t>（不含企业协议）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约 21.8 亿美元，MSS 可汇总上限约 14 亿美元，均为上限，并非拨付额。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5218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anduril_contrac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52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00" w:lineRule="exact" w:before="0" w:after="40"/>
        <w:jc w:val="center"/>
      </w:pPr>
      <w:bookmarkStart w:id="123" w:name="fig_10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图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图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10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Anduril 主要合同金额（按时间，对数坐标）</w:t>
      </w:r>
      <w:bookmarkEnd w:id="123"/>
    </w:p>
    <w:p>
      <w:pPr>
        <w:spacing w:line="360" w:lineRule="exact" w:before="0" w:after="20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来源：本报告依据各合同公告与行业媒体整理；上限、已拨付与 FMS 估值口径不同，不可简单相加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本章口径：合同上限不等于拨付额，对外军售批准估值不等于合同额，企业协议下的任务订单不与载体上限重复相加。按公开上限粗算，Anduril 2022 年约 10.7 亿美元，2025 年约 21 亿美元，2026 年截至 10 月约 280 亿美元，剔除 200 亿美元企业协议后约 80 亿美元，约为 2025 年的 4 倍。已知实际拨付额远小于上限：SOCOM 授予时约 110 万、CDAO 约 3,300 万、JIATF-401 任务订单约 8,700 万美元。CCA 生产、天基拦截器份额等项目未披露金额，年度合计明显低估真实规模。科威特 19.8 亿美元、台湾 ALTIUS 3 亿美元均为对外军售批准估值，不计入合计。MSS 可汇总上限为主合同约 12.75 亿、ARL 9,980 万和 NGA 2,800 万美元，合计约 14 亿美元。</w:t>
      </w:r>
    </w:p>
    <w:p>
      <w:pPr>
        <w:keepNext/>
        <w:spacing w:line="400" w:lineRule="exact" w:before="160" w:after="80"/>
        <w:jc w:val="center"/>
      </w:pPr>
      <w:bookmarkStart w:id="124" w:name="tab_4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4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两系统主要合同与合同载体</w:t>
      </w:r>
      <w:bookmarkEnd w:id="124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247"/>
        <w:gridCol w:w="3628"/>
        <w:gridCol w:w="1701"/>
        <w:gridCol w:w="2494"/>
      </w:tblGrid>
      <w:tr>
        <w:trPr>
          <w:cantSplit/>
          <w:tblHeader/>
        </w:trPr>
        <w:tc>
          <w:tcPr>
            <w:tcW w:w="1247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日期</w:t>
            </w:r>
          </w:p>
        </w:tc>
        <w:tc>
          <w:tcPr>
            <w:tcW w:w="3628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系统与项目</w:t>
            </w:r>
          </w:p>
        </w:tc>
        <w:tc>
          <w:tcPr>
            <w:tcW w:w="1701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金额（美元）</w:t>
            </w:r>
          </w:p>
        </w:tc>
        <w:tc>
          <w:tcPr>
            <w:tcW w:w="2494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口径说明</w:t>
            </w:r>
          </w:p>
        </w:tc>
      </w:tr>
      <w:tr>
        <w:trPr>
          <w:cantSplit/>
        </w:trPr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2026-03</w:t>
            </w:r>
          </w:p>
        </w:tc>
        <w:tc>
          <w:tcPr>
            <w:tcW w:w="362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Lattice：陆军企业协议，整合 120 余项采购行动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上限 200 亿</w:t>
            </w:r>
          </w:p>
        </w:tc>
        <w:tc>
          <w:tcPr>
            <w:tcW w:w="249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合同载体，不附资金</w:t>
            </w:r>
          </w:p>
        </w:tc>
      </w:tr>
      <w:tr>
        <w:trPr>
          <w:cantSplit/>
        </w:trPr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2025-07</w:t>
            </w:r>
          </w:p>
        </w:tc>
        <w:tc>
          <w:tcPr>
            <w:tcW w:w="362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MSS：陆军—Palantir 企业协议，整合 75 份合同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上限 100 亿</w:t>
            </w:r>
          </w:p>
        </w:tc>
        <w:tc>
          <w:tcPr>
            <w:tcW w:w="249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2026 年起承载全部 MSS 合同</w:t>
            </w:r>
          </w:p>
        </w:tc>
      </w:tr>
      <w:tr>
        <w:trPr>
          <w:cantSplit/>
        </w:trPr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2026-10</w:t>
            </w:r>
          </w:p>
        </w:tc>
        <w:tc>
          <w:tcPr>
            <w:tcW w:w="362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Lattice：NGC2 扩展合同，首个第 I 军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上限 18 亿</w:t>
            </w:r>
          </w:p>
        </w:tc>
        <w:tc>
          <w:tcPr>
            <w:tcW w:w="249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基期 1.628 亿</w:t>
            </w:r>
          </w:p>
        </w:tc>
      </w:tr>
      <w:tr>
        <w:trPr>
          <w:cantSplit/>
        </w:trPr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2024-05/2025-05</w:t>
            </w:r>
          </w:p>
        </w:tc>
        <w:tc>
          <w:tcPr>
            <w:tcW w:w="362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MSS：主合同及上限追加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上限约 12.75 亿</w:t>
            </w:r>
          </w:p>
        </w:tc>
        <w:tc>
          <w:tcPr>
            <w:tcW w:w="249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4.8 亿起步，追加 7.95 亿</w:t>
            </w:r>
          </w:p>
        </w:tc>
      </w:tr>
      <w:tr>
        <w:trPr>
          <w:cantSplit/>
        </w:trPr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2022-01</w:t>
            </w:r>
          </w:p>
        </w:tc>
        <w:tc>
          <w:tcPr>
            <w:tcW w:w="362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Lattice：SOCOM 反无人系统集成伙伴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上限 9.676 亿</w:t>
            </w:r>
          </w:p>
        </w:tc>
        <w:tc>
          <w:tcPr>
            <w:tcW w:w="249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授予时拨付约 110 万</w:t>
            </w:r>
          </w:p>
        </w:tc>
      </w:tr>
      <w:tr>
        <w:trPr>
          <w:cantSplit/>
        </w:trPr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2025-11</w:t>
            </w:r>
          </w:p>
        </w:tc>
        <w:tc>
          <w:tcPr>
            <w:tcW w:w="362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Maven 流水线：NGA SEQUOIA 数据标注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上限 7.08 亿</w:t>
            </w:r>
          </w:p>
        </w:tc>
        <w:tc>
          <w:tcPr>
            <w:tcW w:w="249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非 Palantir 合同</w:t>
            </w:r>
          </w:p>
        </w:tc>
      </w:tr>
      <w:tr>
        <w:trPr>
          <w:cantSplit/>
        </w:trPr>
        <w:tc>
          <w:tcPr>
            <w:tcW w:w="1247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2025-03</w:t>
            </w:r>
          </w:p>
        </w:tc>
        <w:tc>
          <w:tcPr>
            <w:tcW w:w="362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Lattice：陆战队反小型无人机 I-CsUAS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上限 6.422 亿</w:t>
            </w:r>
          </w:p>
        </w:tc>
        <w:tc>
          <w:tcPr>
            <w:tcW w:w="2494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授予时约 950 万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来源：本报告依据完整版第五章整理；金额为上限或授予额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两份陆军企业协议均为 5 年基期加 5 年选项期，上限合计 300 亿美元，分别整合 75 份合同和 120 余项采购行动；Palantir 协议承诺每 18—24 个月复评，Anduril 协议为固定价格。同期 Palantir 2025 年美国政府收入 18.55 亿美元，Anduril 2025 年公司口径营收 22 亿美元，协议上限反映的是预留采购空间。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Maven 经费 FY2018 国会拨款 1.31 亿美元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（国防部请求仅约 3,100 万）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，FY2020 为 2.21 亿、FY2021 为 2.5 亿美元，2023—2025 年并入汇总线无法单独识别，FY2027 申请 23 亿美元</w:t>
      </w:r>
      <w:r>
        <w:rPr>
          <w:rFonts w:ascii="Times New Roman" w:hAnsi="Times New Roman" w:cs="Times New Roman" w:eastAsia="楷体_GB2312" w:hint="eastAsia"/>
          <w:b w:val="0"/>
          <w:i w:val="0"/>
          <w:color w:val="222222"/>
          <w:sz w:val="28"/>
        </w:rPr>
        <w:t>（含联合火力网）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。Palantir 美国政府收入由 2022 年 8.263 亿美元增至 2025 年 18.55 亿美元，2026 年上半年约 14.96 亿美元，同比增长 84％—90％，与 MSS 扩张在时间上吻合，因果关系未经证实。Anduril 估值由 2019 年约 10 亿美元升至 2026 年 5 月的 610 亿美元，公司口径 2026 年营收目标约 43 亿美元，均未经审计。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合同结构演变带来锁定加深、可见度下降和上限与实际支出落差扩大三个后果。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企业协议下的订单不必单独公告，Maven 早期合同记录也已被删除。</w:t>
      </w:r>
    </w:p>
    <w:p>
      <w:pPr>
        <w:keepNext/>
        <w:pBdr>
          <w:bottom w:val="single" w:sz="6" w:space="4" w:color="12233B"/>
        </w:pBdr>
        <w:spacing w:before="360" w:after="160"/>
        <w:jc w:val="left"/>
        <w:outlineLvl w:val="0"/>
      </w:pPr>
      <w:bookmarkStart w:id="125" w:name="ch_10"/>
      <w:r>
        <w:rPr>
          <w:rFonts w:ascii="Times New Roman" w:hAnsi="Times New Roman" w:cs="Times New Roman" w:eastAsia="黑体" w:hint="eastAsia"/>
          <w:b/>
          <w:i w:val="0"/>
          <w:color w:val="A8842F"/>
          <w:sz w:val="34"/>
        </w:rPr>
        <w:t>十、</w:t>
      </w:r>
      <w:r>
        <w:rPr>
          <w:rFonts w:ascii="Times New Roman" w:hAnsi="Times New Roman" w:cs="Times New Roman" w:eastAsia="黑体" w:hint="eastAsia"/>
          <w:b/>
          <w:i w:val="0"/>
          <w:color w:val="12233B"/>
          <w:sz w:val="30"/>
        </w:rPr>
        <w:t>研判与关注</w:t>
      </w:r>
      <w:bookmarkEnd w:id="125"/>
    </w:p>
    <w:p>
      <w:pPr>
        <w:pBdr>
          <w:left w:val="single" w:sz="24" w:space="8" w:color="A8842F"/>
        </w:pBdr>
        <w:shd w:val="clear" w:color="auto" w:fill="FFFFFF"/>
        <w:spacing w:line="480" w:lineRule="exact" w:before="120" w:after="240"/>
        <w:ind w:left="240" w:right="12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未来竞争焦点将由“能否使用”转向“谁掌握中间层的数据与接口”。两系统的主要风险集中在网络安全、对抗环境下的可靠性、人类监督密度和供应商锁定，算法本身并非主要风险来源；未来 12—24 个月的若干节点将决定两家在美军体系中的最终位置。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网络安全风险居首。陆军 CTO 备忘录称“无法控制谁看到什么”，并指出一个应用存在 25 个高危漏洞；“Lattice + Foundry”成为全军基线后，单点漏洞的影响范围将扩大到整个陆军。战场可靠性方面，Lattice 相关平台在乌克兰受电子战压制、在海军演习中失灵，问题多出在平台和数据链，恰是其抗干扰卖点所在。自动化偏差方面，Minab 事件中平民伤害评估人员据报由约 10 人减至 1 人；机器速度提名与机器速度执行衔接后，人工审查窗口将进一步压缩。锁定方面，Lattice SDK 禁止不兼容实现，Palantir 本体为专有技术，两者映射规范不公开；空军在 CCA 中以政府参考自主架构保持软件可替换，是防止锁定的反例。盟国主权方面，法国推出本国方案，日本执政联盟主张叠加国产监督层，这些诉求可能在北约 eAirC2 选型中得到反映。</w:t>
      </w:r>
    </w:p>
    <w:p>
      <w:pPr>
        <w:spacing w:line="572" w:lineRule="exact" w:before="0" w:after="0"/>
        <w:ind w:firstLine="56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222222"/>
          <w:sz w:val="28"/>
        </w:rPr>
        <w:t>传统主承包商被纳入新体系，并未被取代；新兴企业之间竞争与合作交织。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8"/>
        </w:rPr>
        <w:t>Scale AI 既是 Lattice 合作伙伴，又在 NGA 标注合同上败给 Enabled Intelligence；Shield AI 在 CCA 自主软件上与 LMA 竞争。两家之间的竞争集中在空中和联合层面的数据层，北约 eAirC2 是首个公开案例。</w:t>
      </w:r>
    </w:p>
    <w:p>
      <w:pPr>
        <w:keepNext/>
        <w:spacing w:line="400" w:lineRule="exact" w:before="160" w:after="80"/>
        <w:jc w:val="center"/>
      </w:pPr>
      <w:bookmarkStart w:id="126" w:name="tab_5"/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表</w:t>
      </w:r>
      <w:r>
        <w:fldChar w:fldCharType="begin"/>
      </w:r>
      <w:r>
        <w:rPr>
          <w:rFonts w:ascii="Times New Roman" w:hAnsi="Times New Roman" w:cs="Times New Roman" w:eastAsia="楷体_GB2312" w:hint="eastAsia"/>
          <w:sz w:val="24"/>
        </w:rPr>
        <w:instrText xml:space="preserve"> SEQ 表 \* ARABIC </w:instrText>
      </w:r>
      <w:r>
        <w:fldChar w:fldCharType="separate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>5</w:t>
      </w:r>
      <w:r>
        <w:fldChar w:fldCharType="end"/>
      </w: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4"/>
        </w:rPr>
        <w:t xml:space="preserve">  未来 12—24 个月关键观察节点</w:t>
      </w:r>
      <w:bookmarkEnd w:id="126"/>
    </w:p>
    <w:tbl>
      <w:tblPr>
        <w:tblW w:w="9072" w:type="dxa"/>
        <w:jc w:val="center"/>
        <w:tblBorders>
          <w:top w:val="single" w:sz="8" w:space="0" w:color="12233B"/>
          <w:left w:val="single" w:sz="4" w:space="0" w:color="C9C2B0"/>
          <w:bottom w:val="single" w:sz="8" w:space="0" w:color="12233B"/>
          <w:right w:val="single" w:sz="4" w:space="0" w:color="C9C2B0"/>
          <w:insideH w:val="single" w:sz="4" w:space="0" w:color="C9C2B0"/>
          <w:insideV w:val="single" w:sz="4" w:space="0" w:color="C9C2B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firstColumn="1" w:firstRow="1" w:lastColumn="0" w:lastRow="0" w:noHBand="0" w:noVBand="1" w:val="04A0"/>
      </w:tblPr>
      <w:tblGrid>
        <w:gridCol w:w="1701"/>
        <w:gridCol w:w="1360"/>
        <w:gridCol w:w="3288"/>
        <w:gridCol w:w="2721"/>
      </w:tblGrid>
      <w:tr>
        <w:trPr>
          <w:cantSplit/>
          <w:tblHeader/>
        </w:trPr>
        <w:tc>
          <w:tcPr>
            <w:tcW w:w="1701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节点</w:t>
            </w:r>
          </w:p>
        </w:tc>
        <w:tc>
          <w:tcPr>
            <w:tcW w:w="1360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预计时间</w:t>
            </w:r>
          </w:p>
        </w:tc>
        <w:tc>
          <w:tcPr>
            <w:tcW w:w="3288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观察要点</w:t>
            </w:r>
          </w:p>
        </w:tc>
        <w:tc>
          <w:tcPr>
            <w:tcW w:w="2721" w:type="dxa"/>
            <w:shd w:val="clear" w:color="auto" w:fill="EFEBDF"/>
            <w:vAlign w:val="center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cs="Times New Roman" w:eastAsia="黑体" w:hint="eastAsia"/>
                <w:b/>
                <w:i w:val="0"/>
                <w:color w:val="12233B"/>
                <w:sz w:val="19"/>
              </w:rPr>
              <w:t>对两家的影响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MSS 正式项目落地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2026 年末至 2027 年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官方完成公告；ATO 瓶颈</w:t>
            </w:r>
          </w:p>
        </w:tc>
        <w:tc>
          <w:tcPr>
            <w:tcW w:w="272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从最常用系统到制度化骨干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北约 eAirC2 选型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约 2027 年春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三家谁胜出；是否引入主权条件</w:t>
            </w:r>
          </w:p>
        </w:tc>
        <w:tc>
          <w:tcPr>
            <w:tcW w:w="272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Anduril 能否在盟军层面突破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NGC2 推广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2026 年末至 2028 年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第 I 军部署；推广至 11 个师</w:t>
            </w:r>
          </w:p>
        </w:tc>
        <w:tc>
          <w:tcPr>
            <w:tcW w:w="272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“Lattice + Foundry”能否成为陆军标准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Lattice—Foundry 接口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持续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是否公开映射规范或形成政府标准</w:t>
            </w:r>
          </w:p>
        </w:tc>
        <w:tc>
          <w:tcPr>
            <w:tcW w:w="272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避免锁定能否落地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DAWG 预算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FY2027 拨款周期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546 亿美元申请写入多少</w:t>
            </w:r>
          </w:p>
        </w:tc>
        <w:tc>
          <w:tcPr>
            <w:tcW w:w="272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Lattice 群体协同软件市场规模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金穹 C2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2026—2028 年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测试结果；正式合同与分工</w:t>
            </w:r>
          </w:p>
        </w:tc>
        <w:tc>
          <w:tcPr>
            <w:tcW w:w="272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两家在联合级 C2 的地位</w:t>
            </w:r>
          </w:p>
        </w:tc>
      </w:tr>
      <w:tr>
        <w:trPr>
          <w:cantSplit/>
        </w:trPr>
        <w:tc>
          <w:tcPr>
            <w:tcW w:w="170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CCA 自主软件</w:t>
            </w:r>
          </w:p>
        </w:tc>
        <w:tc>
          <w:tcPr>
            <w:tcW w:w="1360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至 2027 年</w:t>
            </w:r>
          </w:p>
        </w:tc>
        <w:tc>
          <w:tcPr>
            <w:tcW w:w="3288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任务自主软件池最终选择</w:t>
            </w:r>
          </w:p>
        </w:tc>
        <w:tc>
          <w:tcPr>
            <w:tcW w:w="2721" w:type="dxa"/>
            <w:vAlign w:val="center"/>
          </w:tcPr>
          <w:p>
            <w:pPr>
              <w:spacing w:before="20" w:after="20" w:line="276" w:lineRule="auto"/>
              <w:jc w:val="left"/>
            </w:pPr>
            <w:r>
              <w:rPr>
                <w:rFonts w:ascii="Times New Roman" w:hAnsi="Times New Roman" w:cs="Times New Roman" w:eastAsia="仿宋_GB2312" w:hint="eastAsia"/>
                <w:b w:val="0"/>
                <w:i w:val="0"/>
                <w:color w:val="222222"/>
                <w:sz w:val="19"/>
              </w:rPr>
              <w:t>Lattice 能否成为空中自主标准</w:t>
            </w:r>
          </w:p>
        </w:tc>
      </w:tr>
    </w:tbl>
    <w:p>
      <w:pPr>
        <w:spacing w:line="360" w:lineRule="exact" w:before="40" w:after="20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1"/>
        </w:rPr>
        <w:t>来源：本报告研判；时间为依据公开资料的预计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160" w:after="0"/>
        <w:ind w:left="240" w:right="12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A8842F"/>
          <w:sz w:val="26"/>
        </w:rPr>
        <w:t>对我启示性观察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①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体系竞争焦点正由单项算法转向中间层，数据模型、接口与许可条款决定接入速度和替换成本。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②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AI 目标定位的效能主要来自流程组织，评估同类系统时数据保鲜和人工审查时长比识别率更具判别力。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③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边缘自主的实际门槛是强对抗环境下的链路生存，电子战压制与网络渗透是检验网格的关键条件。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④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企业协议加任务订单将能力生成周期压缩到约 15 个月，代价是透明度下降和竞争强度减弱。</w:t>
      </w:r>
    </w:p>
    <w:p>
      <w:pPr>
        <w:pBdr>
          <w:left w:val="single" w:sz="24" w:space="8" w:color="A8842F"/>
        </w:pBdr>
        <w:shd w:val="clear" w:color="auto" w:fill="FFFFFF"/>
        <w:spacing w:line="480" w:lineRule="exact" w:before="0" w:after="200"/>
        <w:ind w:left="240" w:right="120"/>
        <w:jc w:val="both"/>
      </w:pPr>
      <w:r>
        <w:rPr>
          <w:rFonts w:ascii="Times New Roman" w:hAnsi="Times New Roman" w:cs="Times New Roman" w:eastAsia="仿宋_GB2312" w:hint="eastAsia"/>
          <w:b/>
          <w:i w:val="0"/>
          <w:color w:val="A8842F"/>
          <w:sz w:val="26"/>
        </w:rPr>
        <w:t xml:space="preserve">⑤ 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6"/>
        </w:rPr>
        <w:t>开放平台的攻击面、被稀释的人机监督和盟国主权顾虑，可能制约两系统进一步扩张，需持续跟踪。</w:t>
      </w:r>
    </w:p>
    <w:p>
      <w:pPr>
        <w:spacing w:line="400" w:lineRule="exact" w:before="240" w:after="0"/>
        <w:jc w:val="left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2"/>
        </w:rPr>
        <w:t>说明：本精要版各项事实与数字的出处，见《算法战双核》完整版正文引注与参考文献。</w:t>
      </w:r>
    </w:p>
    <w:p>
      <w:pPr>
        <w:pBdr>
          <w:bottom w:val="single" w:sz="6" w:space="4" w:color="A8842F"/>
        </w:pBdr>
        <w:spacing w:before="280" w:after="0"/>
        <w:jc w:val="center"/>
      </w:pPr>
    </w:p>
    <w:p>
      <w:pPr>
        <w:spacing w:before="80" w:after="0"/>
        <w:jc w:val="center"/>
      </w:pPr>
      <w:r>
        <w:rPr>
          <w:rFonts w:ascii="Times New Roman" w:hAnsi="Times New Roman" w:cs="Times New Roman" w:eastAsia="楷体_GB2312" w:hint="eastAsia"/>
          <w:b w:val="0"/>
          <w:i w:val="0"/>
          <w:color w:val="8A8474"/>
          <w:sz w:val="20"/>
        </w:rPr>
        <w:t>—— 本文完 ｜《析光》2026年10月特情 · 体系研判 ——</w:t>
      </w:r>
    </w:p>
    <w:p>
      <w:r>
        <w:br w:type="page"/>
      </w:r>
    </w:p>
    <w:p>
      <w:pPr>
        <w:pBdr>
          <w:bottom w:val="single" w:sz="8" w:space="4" w:color="A8842F"/>
        </w:pBdr>
        <w:spacing w:before="1200" w:after="320"/>
        <w:jc w:val="center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32"/>
        </w:rPr>
        <w:t>本 期 编 制</w:t>
      </w:r>
    </w:p>
    <w:p>
      <w:pPr>
        <w:spacing w:line="600" w:lineRule="exact" w:before="0" w:after="0"/>
        <w:ind w:left="120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24"/>
        </w:rPr>
        <w:t xml:space="preserve">刊　　名　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4"/>
        </w:rPr>
        <w:t>《析光》科研情报刊物 · 特情</w:t>
      </w:r>
    </w:p>
    <w:p>
      <w:pPr>
        <w:spacing w:line="600" w:lineRule="exact" w:before="0" w:after="0"/>
        <w:ind w:left="120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24"/>
        </w:rPr>
        <w:t xml:space="preserve">期　　次　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4"/>
        </w:rPr>
        <w:t>特情 · 2026年10月</w:t>
      </w:r>
    </w:p>
    <w:p>
      <w:pPr>
        <w:spacing w:line="600" w:lineRule="exact" w:before="0" w:after="0"/>
        <w:ind w:left="120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24"/>
        </w:rPr>
        <w:t xml:space="preserve">题　　目　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4"/>
        </w:rPr>
        <w:t>算法战双核——美军“边缘神经网”与“目标工厂”：Anduril Lattice 与 Palantir Maven Smart System 全景解析（2017—2026）</w:t>
      </w:r>
    </w:p>
    <w:p>
      <w:pPr>
        <w:spacing w:line="600" w:lineRule="exact" w:before="0" w:after="0"/>
        <w:ind w:left="120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24"/>
        </w:rPr>
        <w:t xml:space="preserve">编　　制　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4"/>
        </w:rPr>
        <w:t>无人体系中心 · 鸿眼科情团队</w:t>
      </w:r>
    </w:p>
    <w:p>
      <w:pPr>
        <w:spacing w:line="600" w:lineRule="exact" w:before="0" w:after="0"/>
        <w:ind w:left="120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24"/>
        </w:rPr>
        <w:t xml:space="preserve">资料截止　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4"/>
        </w:rPr>
        <w:t>2026年10月10日（检索日期 2026年10月10日）</w:t>
      </w:r>
    </w:p>
    <w:p>
      <w:pPr>
        <w:spacing w:line="600" w:lineRule="exact" w:before="0" w:after="0"/>
        <w:ind w:left="120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24"/>
        </w:rPr>
        <w:t xml:space="preserve">资料性质　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4"/>
        </w:rPr>
        <w:t>公开来源情报（OSINT）汇编与分析；各方口径并列呈现，弱源与推断均已标注</w:t>
      </w:r>
    </w:p>
    <w:p>
      <w:pPr>
        <w:spacing w:line="600" w:lineRule="exact" w:before="0" w:after="0"/>
        <w:ind w:left="120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24"/>
        </w:rPr>
        <w:t xml:space="preserve">密　　级　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4"/>
        </w:rPr>
        <w:t>非密·内部资料</w:t>
      </w:r>
    </w:p>
    <w:p>
      <w:pPr>
        <w:spacing w:line="600" w:lineRule="exact" w:before="0" w:after="0"/>
        <w:ind w:left="1200"/>
        <w:jc w:val="left"/>
      </w:pPr>
      <w:r>
        <w:rPr>
          <w:rFonts w:ascii="Times New Roman" w:hAnsi="Times New Roman" w:cs="Times New Roman" w:eastAsia="黑体" w:hint="eastAsia"/>
          <w:b/>
          <w:i w:val="0"/>
          <w:color w:val="12233B"/>
          <w:sz w:val="24"/>
        </w:rPr>
        <w:t xml:space="preserve">版本说明　</w:t>
      </w:r>
      <w:r>
        <w:rPr>
          <w:rFonts w:ascii="Times New Roman" w:hAnsi="Times New Roman" w:cs="Times New Roman" w:eastAsia="仿宋_GB2312" w:hint="eastAsia"/>
          <w:b w:val="0"/>
          <w:i w:val="0"/>
          <w:color w:val="222222"/>
          <w:sz w:val="24"/>
        </w:rPr>
        <w:t>docx 编辑版 · HTML 图文热链版（含原图链接）· 精要版 docx · 配图采集清单</w:t>
      </w:r>
    </w:p>
    <w:p>
      <w:pPr>
        <w:spacing w:before="800" w:after="0"/>
        <w:jc w:val="center"/>
      </w:pPr>
      <w:r>
        <w:rPr>
          <w:rFonts w:ascii="Times New Roman" w:hAnsi="Times New Roman" w:cs="Times New Roman" w:eastAsia="黑体" w:hint="eastAsia"/>
          <w:b/>
          <w:i w:val="0"/>
          <w:color w:val="A8842F"/>
          <w:sz w:val="26"/>
        </w:rPr>
        <w:t>看得早 · 看得懂 · 看得准 · 看得透</w:t>
      </w:r>
    </w:p>
    <w:p>
      <w:pPr>
        <w:sectPr>
          <w:footerReference w:type="default" r:id="rId13"/>
          <w:footerReference w:type="first" r:id="rId14"/>
          <w:footerReference w:type="even" r:id="rId15"/>
          <w:pgSz w:w="11906" w:h="16838"/>
          <w:pgMar w:top="1474" w:right="1417" w:bottom="1361" w:left="1417" w:header="680" w:footer="624" w:gutter="0"/>
          <w:pgNumType w:start="1"/>
          <w:cols w:space="720"/>
          <w:docGrid w:linePitch="360"/>
        </w:sectPr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77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76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26"/>
      <w:footerReference w:type="first" r:id="rId27"/>
      <w:footerReference w:type="even" r:id="rId28"/>
      <w:headerReference w:type="default" r:id="rId29"/>
      <w:headerReference w:type="first" r:id="rId30"/>
      <w:headerReference w:type="even" r:id="rId31"/>
      <w:pgSz w:w="11906" w:h="16838"/>
      <w:pgMar w:top="0" w:right="0" w:bottom="0" w:left="0" w:header="0" w:footer="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楷体_GB2312" w:hint="eastAsia"/>
        <w:b w:val="0"/>
        <w:i w:val="0"/>
        <w:color w:val="8A8474"/>
        <w:sz w:val="18"/>
      </w:rPr>
      <w:t>析光·科研情报｜鸿眼·无人体系中心　　看得早·看得懂·看得准·看得透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 w:hint="eastAsia"/>
        <w:b w:val="0"/>
        <w:i w:val="0"/>
        <w:color w:val="222222"/>
        <w:sz w:val="24"/>
      </w:rPr>
      <w:t xml:space="preserve">— </w:t>
    </w:r>
    <w:r>
      <w:fldChar w:fldCharType="begin"/>
    </w:r>
    <w:r>
      <w:rPr>
        <w:rFonts w:ascii="Times New Roman" w:hAnsi="Times New Roman" w:cs="Times New Roman" w:eastAsia="宋体" w:hint="eastAsia"/>
        <w:sz w:val="24"/>
      </w:rPr>
      <w:instrText xml:space="preserve"> PAGE </w:instrText>
    </w:r>
    <w:r>
      <w:fldChar w:fldCharType="separate"/>
    </w:r>
    <w:r>
      <w:rPr>
        <w:rFonts w:ascii="Times New Roman" w:hAnsi="Times New Roman" w:cs="Times New Roman" w:eastAsia="宋体" w:hint="eastAsia"/>
        <w:b w:val="0"/>
        <w:i w:val="0"/>
        <w:color w:val="222222"/>
        <w:sz w:val="24"/>
      </w:rPr>
      <w:t>1</w:t>
    </w:r>
    <w:r>
      <w:fldChar w:fldCharType="end"/>
    </w:r>
    <w:r>
      <w:rPr>
        <w:rFonts w:ascii="Times New Roman" w:hAnsi="Times New Roman" w:cs="Times New Roman" w:eastAsia="宋体" w:hint="eastAsia"/>
        <w:b w:val="0"/>
        <w:i w:val="0"/>
        <w:color w:val="222222"/>
        <w:sz w:val="24"/>
      </w:rPr>
      <w:t xml:space="preserve"> —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 w:hint="eastAsia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footer" Target="footer6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footer" Target="footer7.xml"/><Relationship Id="rId27" Type="http://schemas.openxmlformats.org/officeDocument/2006/relationships/footer" Target="footer8.xml"/><Relationship Id="rId28" Type="http://schemas.openxmlformats.org/officeDocument/2006/relationships/footer" Target="footer9.xml"/><Relationship Id="rId29" Type="http://schemas.openxmlformats.org/officeDocument/2006/relationships/header" Target="header1.xml"/><Relationship Id="rId30" Type="http://schemas.openxmlformats.org/officeDocument/2006/relationships/header" Target="header2.xml"/><Relationship Id="rId31" Type="http://schemas.openxmlformats.org/officeDocument/2006/relationships/header" Target="header3.xml"/><Relationship Id="rId3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