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4EC"/>
  <w:body>
    <w:p>
      <w:pPr>
        <w:pBdr>
          <w:bottom w:val="single" w:sz="12" w:space="4" w:color="A8842F"/>
        </w:pBdr>
        <w:spacing w:before="0" w:after="4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4"/>
        </w:rPr>
        <w:t>析光 XIGUANG</w:t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 xml:space="preserve">　｜　鸿眼·科研情报刊物　特情 · 2026年10月</w:t>
      </w:r>
    </w:p>
    <w:p>
      <w:pPr>
        <w:spacing w:before="120" w:after="16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2"/>
        </w:rPr>
        <w:t>◆ 本期聚焦｜FOCUS</w:t>
      </w:r>
    </w:p>
    <w:p>
      <w:pPr>
        <w:spacing w:line="640" w:lineRule="exact" w:before="240" w:after="80"/>
        <w:jc w:val="center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0"/>
        </w:rPr>
        <w:t>停泊即暴露，无人化加速</w:t>
      </w:r>
    </w:p>
    <w:p>
      <w:pPr>
        <w:spacing w:line="480" w:lineRule="exact" w:before="0" w:after="12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8"/>
        </w:rPr>
        <w:t>——海上岛屿、港口、小岛与远海编组遭袭与防卫案例统计精要（2023—2026）</w:t>
      </w:r>
    </w:p>
    <w:p>
      <w:pPr>
        <w:spacing w:line="40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>文｜无人体系中心科技情报组（鸿眼）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本精要从统计角度对我部《海上岛屿·港口·小岛·远海编组遭袭与防卫案例汇编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6"/>
        </w:rPr>
        <w:t>（2023—2026）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》所收录的168个案例作宏观归纳，回答三个问题：案例分布在哪里、各地是什么类型、威胁形势怎样分类和演变。总的看法是：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海上攻防的重心在向静止目标和无人化手段两个方向移动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。港口类案例中遭袭受损或被击沉、摧毁的占77％，远海编组类案例中防御成功或部分拦截的占64％；有无人平台参与的案例占比由2024年的39％升至2026年前三季度的68％。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1" w:name="ch_1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一、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案例总体呈现</w:t>
      </w:r>
      <w:bookmarkEnd w:id="101"/>
    </w:p>
    <w:p>
      <w:pPr>
        <w:keepNext/>
        <w:spacing w:line="572" w:lineRule="exact" w:before="200" w:after="40"/>
        <w:jc w:val="left"/>
        <w:outlineLvl w:val="1"/>
      </w:pPr>
      <w:bookmarkStart w:id="102" w:name="h_1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（一）总量与构成</w:t>
      </w:r>
      <w:bookmarkEnd w:id="102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汇编共收录2023年1月至2026年9月的海上攻防案例168个。按场景分，周边港口57个、远海机动编组42个、海上交通线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（商船遇袭，关联案例）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28个、岛屿防卫21个、海上小岛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（含礁、平台、离岸设施）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20个。按年份分，2023年31个、2024年54个、2025年39个、2026年1—9月44个，2026年未满一年已接近2024年水平。按可信度分，A级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（多源交叉印证）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45个、B级108个、C级15个，A、B两级合计占91％，以下统计以全部案例为口径。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从结果看，攻击方得手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（遭袭受损或被击沉、摧毁）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的案例98个，占58％；防御方成功或部分拦截的43个，占26％；其余27个为未发生火力交战的灰色地带对峙，占16％。</w:t>
      </w:r>
    </w:p>
    <w:p>
      <w:pPr>
        <w:keepNext/>
        <w:spacing w:line="572" w:lineRule="exact" w:before="200" w:after="40"/>
        <w:jc w:val="left"/>
        <w:outlineLvl w:val="1"/>
      </w:pPr>
      <w:bookmarkStart w:id="103" w:name="h_2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（二）空间分布：两大主战场加七个方向</w:t>
      </w:r>
      <w:bookmarkEnd w:id="103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给出案例的全球分布。案例集中在八个海域方向，其中黑海53个、红海—亚丁湾41个，两地合计占56％，是三年来海上攻防的两个主战场；其次是亚太21个、波罗的海—北海13个、波斯湾12个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（其中10个发生在2026年战争期间）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、东地中海10个、印度洋9个、加勒比4个，另有地中海中部、西非外海、红海西岸等零散案例5个。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426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wor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2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4" w:name="fig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案例全球分布（按场景着色、按结果区分符号）</w:t>
      </w:r>
      <w:bookmarkEnd w:id="104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line="572" w:lineRule="exact" w:before="200" w:after="40"/>
        <w:jc w:val="left"/>
        <w:outlineLvl w:val="1"/>
      </w:pPr>
      <w:bookmarkStart w:id="105" w:name="h_3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（三）各地类型：不同海域呈现不同的攻防形态</w:t>
      </w:r>
      <w:bookmarkEnd w:id="105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图2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表1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给出各海域的场景构成、主要威胁类型和结果特征。可以把八个方向归为四种形态：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港口攻防型：黑海。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黑海53个案例中周边港口类34个，攻防围绕塞瓦斯托波尔、新罗西斯克、敖德萨等港口展开，导弹、无人机、无人艇三类手段交替和组合使用，结果以遭袭受损和被击沉、摧毁为主。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编组护航型：红海—亚丁湾。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该方向远海编组类案例20个，其中防御成功或部分拦截17个；同时商船遇袭和港口遭空袭案例较多，形成“编队拦得住、商船和港口挨打”的格局。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灰色地带型：亚太与波罗的海。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亚太21个案例全部属于岛屿防卫和海上小岛两类，其中15个为未交火的灰色地带对峙，手段以水炮、拦阻、碰撞、执法巡查和演习施压为主；波罗的海—北海以海底管线电缆损伤、无人机滋扰和影子船队拦检为主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高强度战争型：波斯湾与东地中海。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这两个方向的案例集中在2024年伊以互袭和2026年美以—伊朗战争期间，岛上基地、港口、能源设施和远海编组同时遭受导弹与无人机打击，水下布雷也在这里出现。印度洋、加勒比则以反海盗、封锁与扣押等低强度行动为主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4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6" w:name="fig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各海域案例数量与场景构成</w:t>
      </w:r>
      <w:bookmarkEnd w:id="106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400" w:lineRule="exact" w:before="160" w:after="80"/>
        <w:jc w:val="center"/>
      </w:pPr>
      <w:bookmarkStart w:id="107" w:name="tab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各海域案例构成与主要特征</w:t>
      </w:r>
      <w:bookmarkEnd w:id="107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474"/>
        <w:gridCol w:w="1247"/>
        <w:gridCol w:w="2154"/>
        <w:gridCol w:w="2381"/>
        <w:gridCol w:w="1814"/>
      </w:tblGrid>
      <w:tr>
        <w:trPr>
          <w:cantSplit/>
          <w:tblHeader/>
        </w:trPr>
        <w:tc>
          <w:tcPr>
            <w:tcW w:w="147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海域</w:t>
            </w:r>
          </w:p>
        </w:tc>
        <w:tc>
          <w:tcPr>
            <w:tcW w:w="124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案例数（占比）</w:t>
            </w:r>
          </w:p>
        </w:tc>
        <w:tc>
          <w:tcPr>
            <w:tcW w:w="215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主要场景</w:t>
            </w:r>
          </w:p>
        </w:tc>
        <w:tc>
          <w:tcPr>
            <w:tcW w:w="238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主要威胁类型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结果特征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53（32％）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周边港口34、远海机动编组9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导弹与火力打击、无人机、无人艇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遭袭受损居多（29/53）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41（24％）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远海机动编组20、周边港口9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导弹与火力打击、无人机、有人机空袭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遭袭受损居多（18/41）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亚太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21（12％）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海上小岛11、岛屿防卫10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灰色地带施压、登临/劫持/登陆、有人机空袭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灰色地带对峙居多（15/21）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13（8％）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周边港口4、海上小岛3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无人机、灰色地带施压、海底设施破坏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灰色地带对峙居多（6/13）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波斯湾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12（7％）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岛屿防卫5、远海机动编组3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无人机、导弹与火力打击、有人机空袭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遭袭受损居多（6/12）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东地中海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10（6％）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周边港口5、远海机动编组2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导弹与火力打击、无人机、登临/劫持/登陆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遭袭受损居多（4/10）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印度洋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9（5％）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远海机动编组5、海上交通线3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导弹与火力打击、登临/劫持/登陆、无人机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防御成功居多（4/9）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加勒比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4（2％）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海上交通线2、周边港口1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封锁与扣押、登临/劫持/登陆、无人机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灰色地带对峙居多（2/4）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其他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5（3％）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海上交通线3、周边港口2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无人机、有人机空袭、无人艇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遭袭受损居多（5/5）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来源：本报告统计（主要威胁类型按涉及案例数排序，一个案例可涉及多类）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8" w:name="ch_2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二、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威胁形势判断</w:t>
      </w:r>
      <w:bookmarkEnd w:id="108"/>
    </w:p>
    <w:p>
      <w:pPr>
        <w:keepNext/>
        <w:spacing w:line="572" w:lineRule="exact" w:before="200" w:after="40"/>
        <w:jc w:val="left"/>
        <w:outlineLvl w:val="1"/>
      </w:pPr>
      <w:bookmarkStart w:id="109" w:name="h_4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（一）威胁的分类</w:t>
      </w:r>
      <w:bookmarkEnd w:id="109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按攻击方使用的手段，把全部案例涉及的威胁归为三个层级、九种类型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（一个案例可涉及多种类型）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高强度动能打击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，包括导弹与火力打击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（弹道导弹、巡航导弹、火箭弹、迫击炮等）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和有人机空袭，涉及案例81个；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无人化打击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，包括无人机、无人艇和水下威胁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（无人潜航器、水雷、鱼雷）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，涉及案例91个；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低强度与灰色地带行动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，包括灰色地带施压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（水炮、冲撞、拦阻、抵近、演习、执法巡查、电磁干扰）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、封锁与扣押、登临/劫持/登陆、海底设施破坏，涉及案例57个。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表2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图3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给出各类威胁的案例数、主要海域和结果构成。</w:t>
      </w:r>
    </w:p>
    <w:p>
      <w:pPr>
        <w:keepNext/>
        <w:spacing w:line="400" w:lineRule="exact" w:before="160" w:after="80"/>
        <w:jc w:val="center"/>
      </w:pPr>
      <w:bookmarkStart w:id="110" w:name="tab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威胁分类统计</w:t>
      </w:r>
      <w:bookmarkEnd w:id="110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814"/>
        <w:gridCol w:w="1814"/>
        <w:gridCol w:w="907"/>
        <w:gridCol w:w="2381"/>
        <w:gridCol w:w="2154"/>
      </w:tblGrid>
      <w:tr>
        <w:trPr>
          <w:cantSplit/>
          <w:tblHeader/>
        </w:trPr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层级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威胁类型</w:t>
            </w:r>
          </w:p>
        </w:tc>
        <w:tc>
          <w:tcPr>
            <w:tcW w:w="90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涉及案例</w:t>
            </w:r>
          </w:p>
        </w:tc>
        <w:tc>
          <w:tcPr>
            <w:tcW w:w="238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主要海域</w:t>
            </w:r>
          </w:p>
        </w:tc>
        <w:tc>
          <w:tcPr>
            <w:tcW w:w="215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结果特征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高强度动能打击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69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红海—亚丁湾30、黑海22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遭袭受损38％；防御成功32％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高强度动能打击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有人机空袭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红海—亚丁湾8、波斯湾4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遭袭受损58％；灰色地带对峙21％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67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黑海22、红海—亚丁湾20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遭袭受损49％；防御成功28％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无人艇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26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黑海21、红海—亚丁湾3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遭袭受损38％；被击沉/摧毁35％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水下威胁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黑海6、波斯湾4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防御成功33％；遭袭受损25％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灰色地带施压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亚太14、波罗的海—北海5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灰色地带对峙67％；遭袭受损21％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封锁与扣押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波罗的海—北海4、波斯湾3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灰色地带对峙58％；遭袭受损42％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登临/劫持/登陆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25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黑海9、红海—亚丁湾4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遭袭受损48％；灰色地带对峙24％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海底设施破坏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波罗的海—北海4、亚太2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遭袭受损86％；防御成功14％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来源：本报告统计（一个案例可涉及多类威胁；结果特征列出最常见的两类结果及其占比）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8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hre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1" w:name="fig_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各类威胁涉及案例数与结果构成</w:t>
      </w:r>
      <w:bookmarkEnd w:id="111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572" w:lineRule="exact" w:before="200" w:after="40"/>
        <w:jc w:val="left"/>
        <w:outlineLvl w:val="1"/>
      </w:pPr>
      <w:bookmarkStart w:id="112" w:name="h_5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（二）统计反映的五个特点</w:t>
      </w:r>
      <w:bookmarkEnd w:id="112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第一，导弹与无人机是两大主体威胁，数量相当。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导弹与火力打击涉及69个案例，无人机涉及67个，两者都远多于其他类型。两类威胁的结果构成不同：导弹类案例中防御成功22个、被击沉或摧毁13个，拦截成功主要来自红海与东地中海编队对反舰导弹、弹道导弹的拦截，被毁则主要是港内舰艇；无人机类案例中遭袭受损33个，接近一半，主要来自港口和岛上基地被突防，被击沉、摧毁的极少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第二，无人艇和水下手段数量不大，但致毁率最高。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无人艇涉及26个案例，其中被击沉、摧毁的9个，比例在各类威胁中最高；水下威胁仅12个案例，但包括无人潜航器突入军港、海峡布雷封锁和潜艇击沉水面舰等影响最大的事件。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第三，组合使用成为常态。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77个案例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（占46％）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涉及两类以上威胁；按组织形态统计，“集群”标签出现91次，“异构”48次，“偷袭/突防”50次，“饱和”19次，而有证据表明平台间自主协同的“蜂群”仅4次。多平台同时投送已很普遍，真正意义上的自主蜂群公开证据仍然很少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第四，空中仍是主要来袭方向，水面次之。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按作战域统计，涉及空中的案例120个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（占71％）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，水面82个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（49％）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，岸基26个，水下15个，电磁5个。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第五，灰色地带行动自成一类。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低强度与灰色地带行动涉及57个案例，主要分布在亚太、波罗的海、印度洋和加勒比，多数不发生火力交战，但直接决定岛礁补给、海底设施安全和航运通行，是岛屿和小岛类场景的主要威胁形态。</w:t>
      </w:r>
    </w:p>
    <w:p>
      <w:pPr>
        <w:keepNext/>
        <w:spacing w:line="572" w:lineRule="exact" w:before="200" w:after="40"/>
        <w:jc w:val="left"/>
        <w:outlineLvl w:val="1"/>
      </w:pPr>
      <w:bookmarkStart w:id="113" w:name="h_6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（三）时间脉络：三条主线先后升温，无人化比例持续上升</w:t>
      </w:r>
      <w:bookmarkEnd w:id="113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图4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给出各年度主要威胁类型的占比和无人平台参与比例。从时间上看有三个变化：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一是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主战场接续转移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2023—2024年以黑海港口与舰艇攻防、红海编队防空为主，2024年案例数最多；2025年红海对海军舰艇的攻击在5月美胡停火后基本停止，黑海打击转向新罗西斯克和影子船队油轮；2026年波斯湾爆发战争，红海南口出现岛屿易手，黑海双方互打航运，案例数再度上升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二是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无人化比例持续上升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。有无人平台参与的案例占当年比例，2023年为55％，2024年因红海导弹拦截和南海对峙案例集中而降至39％，2025年回升至59％，2026年前三季度达到68％；其中无人机在2025年起超过导弹，成为占比最高的威胁类型。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三是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灰色地带与登临类行动比例下降、强度上升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。这类案例的占比在2024年后回落，但出现了联合拦截补给、渔船渗透岛屿、近岸岛屿被夺占等更高强度的形态。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6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4" w:name="fig_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主要威胁类型占比变化与无人平台参与比例</w:t>
      </w:r>
      <w:bookmarkEnd w:id="114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来源：本报告统计（2026年数据截至9月）</w:t>
      </w:r>
    </w:p>
    <w:p>
      <w:pPr>
        <w:keepNext/>
        <w:spacing w:line="572" w:lineRule="exact" w:before="200" w:after="40"/>
        <w:jc w:val="left"/>
        <w:outlineLvl w:val="1"/>
      </w:pPr>
      <w:bookmarkStart w:id="115" w:name="h_7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（四）总体判断</w:t>
      </w:r>
      <w:bookmarkEnd w:id="115"/>
    </w:p>
    <w:p>
      <w:pPr>
        <w:pBdr>
          <w:left w:val="single" w:sz="24" w:space="8" w:color="A8842F"/>
        </w:pBdr>
        <w:shd w:val="clear" w:color="auto" w:fill="FFFFFF"/>
        <w:spacing w:line="480" w:lineRule="exact" w:before="160" w:after="0"/>
        <w:ind w:left="240" w:right="12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6"/>
        </w:rPr>
        <w:t>总体判断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①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从被攻击对象看，静止目标是主要受害者。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港口类案例中遭袭受损或被击沉、摧毁的占77％，而远海编组类案例中防御成功或部分拦截的占64％。攻击方普遍选择停泊舰艇、船坞、港口设施和岛上基地，而不是航行中的编队。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②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从攻击手段看，无人化是最清楚的趋势。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无人平台参与的案例从2024年的39％升至2026年的68％，无人机已成为占比最高的威胁类型，无人艇和水下手段数量少但致毁率高。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③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从组织方式看，组合打击已成常态。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近半数案例涉及两类以上威胁，导弹、无人机、无人艇同时来袭和“先打探测节点、再打主目标”的做法反复出现。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④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从地域看，威胁形态呈现明显分区。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黑海以港口攻防为主，红海以编组护航为主，亚太与波罗的海以灰色地带对峙为主，波斯湾与东地中海以国家间高强度打击为主，同一套防御体系难以通用。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20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⑤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从烈度看，高强度冲突与灰色地带并行。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16％的案例没有发生火力交战，但岛礁补给、海底设施和航运通行受到的影响并不比火力打击小。</w:t>
      </w:r>
    </w:p>
    <w:p>
      <w:pPr>
        <w:pBdr>
          <w:bottom w:val="single" w:sz="6" w:space="4" w:color="A8842F"/>
        </w:pBdr>
        <w:spacing w:before="280" w:after="0"/>
        <w:jc w:val="center"/>
      </w:pPr>
    </w:p>
    <w:p>
      <w:pPr>
        <w:spacing w:before="80" w:after="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0"/>
        </w:rPr>
        <w:t>—— 本文完 ｜《析光》2026年10月特情 · 本期聚焦 ——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417" w:header="680" w:footer="62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— </w:t>
    </w:r>
    <w:r>
      <w:fldChar w:fldCharType="begin"/>
    </w:r>
    <w:r>
      <w:rPr>
        <w:rFonts w:ascii="Times New Roman" w:hAnsi="Times New Roman" w:cs="Times New Roman" w:eastAsia="宋体" w:hint="eastAsia"/>
        <w:sz w:val="24"/>
      </w:rPr>
      <w:instrText xml:space="preserve"> PAGE </w:instrText>
    </w:r>
    <w:r>
      <w:fldChar w:fldCharType="separate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>1</w:t>
    </w:r>
    <w:r>
      <w:fldChar w:fldCharType="end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2233B"/>
      </w:pBdr>
      <w:tabs>
        <w:tab w:val="right" w:leader="none" w:pos="9070"/>
      </w:tabs>
      <w:jc w:val="left"/>
    </w:pPr>
    <w:r>
      <w:rPr>
        <w:rFonts w:ascii="Times New Roman" w:hAnsi="Times New Roman" w:cs="Times New Roman" w:eastAsia="黑体" w:hint="eastAsia"/>
        <w:b w:val="0"/>
        <w:i w:val="0"/>
        <w:color w:val="12233B"/>
        <w:sz w:val="18"/>
      </w:rPr>
      <w:t>XIGUANG · INTELLIGENCE REPORT</w:t>
    </w:r>
    <w:r>
      <w:rPr>
        <w:rFonts w:ascii="Times New Roman" w:hAnsi="Times New Roman" w:cs="Times New Roman" w:eastAsia="黑体" w:hint="eastAsia"/>
        <w:b w:val="0"/>
        <w:i w:val="0"/>
        <w:color w:val="8A8474"/>
        <w:sz w:val="18"/>
      </w:rPr>
      <w:tab/>
      <w:t>《析光》特情 · 2026年10月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 w:hint="eastAsi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