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0328" w14:textId="5F69C132" w:rsidR="0050566B" w:rsidRPr="007B6F66" w:rsidRDefault="00377B4D" w:rsidP="00505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</w:t>
      </w:r>
      <w:r w:rsidR="0050566B" w:rsidRPr="007B6F66">
        <w:rPr>
          <w:rFonts w:ascii="Times New Roman" w:hAnsi="Times New Roman" w:cs="Times New Roman"/>
          <w:b/>
          <w:bCs/>
          <w:sz w:val="24"/>
          <w:szCs w:val="24"/>
        </w:rPr>
        <w:t xml:space="preserve"> – ASSIGNMENT</w:t>
      </w:r>
    </w:p>
    <w:p w14:paraId="587FE27B" w14:textId="77777777" w:rsidR="0050566B" w:rsidRDefault="0050566B" w:rsidP="00505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C88AC" w14:textId="24079981" w:rsidR="006F3993" w:rsidRDefault="002C0A39" w:rsidP="0050566B">
      <w:pPr>
        <w:pStyle w:val="Paragrafoelenco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private equity fund is seeking to buy 100% of shares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 listed company</w:t>
      </w:r>
      <w:r w:rsidR="006F3993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BD66E0" w14:textId="6B59E122" w:rsidR="006F3993" w:rsidRDefault="006F3993" w:rsidP="006F3993">
      <w:pPr>
        <w:pStyle w:val="Paragrafoelenco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8"/>
        <w:gridCol w:w="4470"/>
      </w:tblGrid>
      <w:tr w:rsidR="006F3993" w14:paraId="757E1410" w14:textId="77777777" w:rsidTr="00642319">
        <w:tc>
          <w:tcPr>
            <w:tcW w:w="4438" w:type="dxa"/>
          </w:tcPr>
          <w:p w14:paraId="74208DD1" w14:textId="77777777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Assets</w:t>
            </w:r>
          </w:p>
        </w:tc>
        <w:tc>
          <w:tcPr>
            <w:tcW w:w="4470" w:type="dxa"/>
          </w:tcPr>
          <w:p w14:paraId="1FED8117" w14:textId="77777777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Liabilities</w:t>
            </w:r>
          </w:p>
        </w:tc>
      </w:tr>
      <w:tr w:rsidR="006F3993" w14:paraId="5BF8C065" w14:textId="77777777" w:rsidTr="00642319">
        <w:tc>
          <w:tcPr>
            <w:tcW w:w="4438" w:type="dxa"/>
            <w:vMerge w:val="restart"/>
          </w:tcPr>
          <w:p w14:paraId="00D4994F" w14:textId="0D576DA8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</w:p>
        </w:tc>
        <w:tc>
          <w:tcPr>
            <w:tcW w:w="4470" w:type="dxa"/>
          </w:tcPr>
          <w:p w14:paraId="770A29F6" w14:textId="4C867E90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€150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Equity (Market)</w:t>
            </w:r>
          </w:p>
        </w:tc>
      </w:tr>
      <w:tr w:rsidR="006F3993" w14:paraId="2717B5E3" w14:textId="77777777" w:rsidTr="00642319">
        <w:tc>
          <w:tcPr>
            <w:tcW w:w="4438" w:type="dxa"/>
            <w:vMerge/>
          </w:tcPr>
          <w:p w14:paraId="70F9DBFF" w14:textId="77777777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0" w:type="dxa"/>
          </w:tcPr>
          <w:p w14:paraId="3C79C8C3" w14:textId="706C4920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Debt</w:t>
            </w:r>
          </w:p>
        </w:tc>
      </w:tr>
    </w:tbl>
    <w:p w14:paraId="53A97F29" w14:textId="77777777" w:rsidR="006F3993" w:rsidRDefault="006F3993" w:rsidP="006F3993">
      <w:pPr>
        <w:pStyle w:val="Paragrafoelenc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0776E" w14:textId="1A33E21D" w:rsidR="0050566B" w:rsidRDefault="002C0A39" w:rsidP="0050566B">
      <w:pPr>
        <w:pStyle w:val="Paragrafoelenco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structure of transactions is the following.</w:t>
      </w:r>
    </w:p>
    <w:p w14:paraId="1CE8C42D" w14:textId="5EB22BC2" w:rsidR="006F3993" w:rsidRDefault="006F3993" w:rsidP="0050566B">
      <w:pPr>
        <w:pStyle w:val="Paragrafoelenco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investment vehicle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set up:</w:t>
      </w:r>
    </w:p>
    <w:p w14:paraId="1DCE6E4F" w14:textId="1D9A314F" w:rsidR="002C0A39" w:rsidRDefault="002C0A39" w:rsidP="002C0A39">
      <w:pPr>
        <w:pStyle w:val="Paragrafoelenco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TopCo</w:t>
      </w:r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8"/>
        <w:gridCol w:w="4470"/>
      </w:tblGrid>
      <w:tr w:rsidR="002C0A39" w14:paraId="19958001" w14:textId="77777777" w:rsidTr="002C0A39">
        <w:tc>
          <w:tcPr>
            <w:tcW w:w="4438" w:type="dxa"/>
          </w:tcPr>
          <w:p w14:paraId="0B93C5E4" w14:textId="71BD9853" w:rsidR="002C0A39" w:rsidRDefault="002C0A39" w:rsidP="002C0A3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Assets</w:t>
            </w:r>
          </w:p>
        </w:tc>
        <w:tc>
          <w:tcPr>
            <w:tcW w:w="4470" w:type="dxa"/>
          </w:tcPr>
          <w:p w14:paraId="3F1B68EF" w14:textId="19561408" w:rsidR="002C0A39" w:rsidRDefault="002C0A39" w:rsidP="002C0A3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Liabilities</w:t>
            </w:r>
          </w:p>
        </w:tc>
      </w:tr>
      <w:tr w:rsidR="002C0A39" w14:paraId="5CDB0D03" w14:textId="77777777" w:rsidTr="002C0A39">
        <w:tc>
          <w:tcPr>
            <w:tcW w:w="4438" w:type="dxa"/>
            <w:vMerge w:val="restart"/>
          </w:tcPr>
          <w:p w14:paraId="175C5E6A" w14:textId="40B5B363" w:rsidR="002C0A39" w:rsidRDefault="002C0A39" w:rsidP="002C0A3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</w:p>
        </w:tc>
        <w:tc>
          <w:tcPr>
            <w:tcW w:w="4470" w:type="dxa"/>
          </w:tcPr>
          <w:p w14:paraId="4D9EB6E3" w14:textId="56CEED32" w:rsidR="002C0A39" w:rsidRDefault="002C0A39" w:rsidP="002C0A3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€99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Fund</w:t>
            </w:r>
            <w:r w:rsidR="00F85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(Shares A)</w:t>
            </w:r>
          </w:p>
        </w:tc>
      </w:tr>
      <w:tr w:rsidR="002C0A39" w:rsidRPr="00A12A9F" w14:paraId="3754F657" w14:textId="77777777" w:rsidTr="002C0A39">
        <w:tc>
          <w:tcPr>
            <w:tcW w:w="4438" w:type="dxa"/>
            <w:vMerge/>
          </w:tcPr>
          <w:p w14:paraId="5A8F112B" w14:textId="77777777" w:rsidR="002C0A39" w:rsidRDefault="002C0A39" w:rsidP="002C0A3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0" w:type="dxa"/>
          </w:tcPr>
          <w:p w14:paraId="3D9279BC" w14:textId="166E20B2" w:rsidR="002C0A39" w:rsidRDefault="002C0A39" w:rsidP="002C0A3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Managers</w:t>
            </w:r>
            <w:r w:rsidR="00F85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(Shares B)</w:t>
            </w:r>
          </w:p>
        </w:tc>
      </w:tr>
    </w:tbl>
    <w:p w14:paraId="7BB45577" w14:textId="4054467D" w:rsidR="002C0A39" w:rsidRDefault="002C0A39" w:rsidP="002C0A39">
      <w:pPr>
        <w:pStyle w:val="Paragrafoelenc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0F216" w14:textId="74459C52" w:rsidR="002C0A39" w:rsidRDefault="006F3993" w:rsidP="006F3993">
      <w:pPr>
        <w:pStyle w:val="Paragrafoelenco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bidding vehicle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set up:</w:t>
      </w:r>
    </w:p>
    <w:p w14:paraId="0F476FA9" w14:textId="5C00F5FC" w:rsidR="006F3993" w:rsidRDefault="006F3993" w:rsidP="006F3993">
      <w:pPr>
        <w:pStyle w:val="Paragrafoelenco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BidCo</w:t>
      </w:r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8"/>
        <w:gridCol w:w="4470"/>
      </w:tblGrid>
      <w:tr w:rsidR="006F3993" w14:paraId="6CA7E9D7" w14:textId="77777777" w:rsidTr="00642319">
        <w:tc>
          <w:tcPr>
            <w:tcW w:w="4438" w:type="dxa"/>
          </w:tcPr>
          <w:p w14:paraId="42935E11" w14:textId="77777777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Assets</w:t>
            </w:r>
          </w:p>
        </w:tc>
        <w:tc>
          <w:tcPr>
            <w:tcW w:w="4470" w:type="dxa"/>
          </w:tcPr>
          <w:p w14:paraId="2A8C8A71" w14:textId="77777777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Liabilities</w:t>
            </w:r>
          </w:p>
        </w:tc>
      </w:tr>
      <w:tr w:rsidR="006F3993" w14:paraId="40B68F37" w14:textId="77777777" w:rsidTr="00642319">
        <w:tc>
          <w:tcPr>
            <w:tcW w:w="4438" w:type="dxa"/>
            <w:vMerge w:val="restart"/>
          </w:tcPr>
          <w:p w14:paraId="00C2C051" w14:textId="45D447B6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</w:p>
        </w:tc>
        <w:tc>
          <w:tcPr>
            <w:tcW w:w="4470" w:type="dxa"/>
          </w:tcPr>
          <w:p w14:paraId="4A58836B" w14:textId="2E6C3B3E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TopCo</w:t>
            </w:r>
            <w:proofErr w:type="spellEnd"/>
          </w:p>
        </w:tc>
      </w:tr>
      <w:tr w:rsidR="006F3993" w14:paraId="1C78FF9F" w14:textId="77777777" w:rsidTr="00642319">
        <w:tc>
          <w:tcPr>
            <w:tcW w:w="4438" w:type="dxa"/>
            <w:vMerge/>
          </w:tcPr>
          <w:p w14:paraId="36A11323" w14:textId="77777777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0" w:type="dxa"/>
          </w:tcPr>
          <w:p w14:paraId="5C67FD9B" w14:textId="5538FAF8" w:rsidR="006F3993" w:rsidRDefault="006F3993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Debt</w:t>
            </w:r>
          </w:p>
        </w:tc>
      </w:tr>
    </w:tbl>
    <w:p w14:paraId="68F34835" w14:textId="77777777" w:rsidR="006F3993" w:rsidRDefault="006F3993" w:rsidP="006F3993">
      <w:pPr>
        <w:pStyle w:val="Paragrafoelenc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A4420" w14:textId="0FF08A34" w:rsidR="006F3993" w:rsidRDefault="006F3993" w:rsidP="00F8538F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launches a public tender offer for all shares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BidCo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uses €150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to buy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shares on the market (assuming 100% of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shares) and €50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to reimburse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debt.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BidCo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F8538F"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 w:rsidR="00F8538F">
        <w:rPr>
          <w:rFonts w:ascii="Times New Roman" w:hAnsi="Times New Roman" w:cs="Times New Roman"/>
          <w:sz w:val="24"/>
          <w:szCs w:val="24"/>
          <w:lang w:val="en-US"/>
        </w:rPr>
        <w:t xml:space="preserve"> are then merged:</w:t>
      </w:r>
    </w:p>
    <w:p w14:paraId="390771C0" w14:textId="0009C6D3" w:rsidR="00F8538F" w:rsidRDefault="00F8538F" w:rsidP="00F8538F">
      <w:pPr>
        <w:pStyle w:val="Paragrafoelenco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 w:rsidR="00EB104B">
        <w:rPr>
          <w:rFonts w:ascii="Times New Roman" w:hAnsi="Times New Roman" w:cs="Times New Roman"/>
          <w:sz w:val="24"/>
          <w:szCs w:val="24"/>
          <w:lang w:val="en-US"/>
        </w:rPr>
        <w:t xml:space="preserve"> (New </w:t>
      </w:r>
      <w:proofErr w:type="spellStart"/>
      <w:r w:rsidR="00EB104B"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 w:rsidR="00EB10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8"/>
        <w:gridCol w:w="4470"/>
      </w:tblGrid>
      <w:tr w:rsidR="00F8538F" w14:paraId="0BA1950C" w14:textId="77777777" w:rsidTr="00642319">
        <w:tc>
          <w:tcPr>
            <w:tcW w:w="4438" w:type="dxa"/>
          </w:tcPr>
          <w:p w14:paraId="6DA39908" w14:textId="77777777" w:rsidR="00F8538F" w:rsidRDefault="00F8538F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Assets</w:t>
            </w:r>
          </w:p>
        </w:tc>
        <w:tc>
          <w:tcPr>
            <w:tcW w:w="4470" w:type="dxa"/>
          </w:tcPr>
          <w:p w14:paraId="3832B048" w14:textId="77777777" w:rsidR="00F8538F" w:rsidRDefault="00F8538F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Liabilities</w:t>
            </w:r>
          </w:p>
        </w:tc>
      </w:tr>
      <w:tr w:rsidR="00F8538F" w14:paraId="694DBA6B" w14:textId="77777777" w:rsidTr="00642319">
        <w:tc>
          <w:tcPr>
            <w:tcW w:w="4438" w:type="dxa"/>
            <w:vMerge w:val="restart"/>
          </w:tcPr>
          <w:p w14:paraId="50DFAD7F" w14:textId="2233DD77" w:rsidR="00F8538F" w:rsidRDefault="00F8538F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</w:p>
        </w:tc>
        <w:tc>
          <w:tcPr>
            <w:tcW w:w="4470" w:type="dxa"/>
          </w:tcPr>
          <w:p w14:paraId="300FCD8F" w14:textId="77777777" w:rsidR="00F8538F" w:rsidRDefault="00F8538F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TopCo</w:t>
            </w:r>
            <w:proofErr w:type="spellEnd"/>
          </w:p>
        </w:tc>
      </w:tr>
      <w:tr w:rsidR="00F8538F" w14:paraId="69772E4F" w14:textId="77777777" w:rsidTr="00642319">
        <w:tc>
          <w:tcPr>
            <w:tcW w:w="4438" w:type="dxa"/>
            <w:vMerge/>
          </w:tcPr>
          <w:p w14:paraId="65F5820C" w14:textId="77777777" w:rsidR="00F8538F" w:rsidRDefault="00F8538F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0" w:type="dxa"/>
          </w:tcPr>
          <w:p w14:paraId="168AE4C6" w14:textId="77777777" w:rsidR="00F8538F" w:rsidRDefault="00F8538F" w:rsidP="00642319">
            <w:pPr>
              <w:pStyle w:val="Paragrafoelenc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€100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Debt</w:t>
            </w:r>
          </w:p>
        </w:tc>
      </w:tr>
    </w:tbl>
    <w:p w14:paraId="1C387740" w14:textId="77777777" w:rsidR="00F8538F" w:rsidRDefault="00F8538F" w:rsidP="00F8538F">
      <w:pPr>
        <w:pStyle w:val="Paragrafoelenc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B6662" w14:textId="517A8CBC" w:rsidR="00F8538F" w:rsidRDefault="00EB104B" w:rsidP="00C85061">
      <w:pPr>
        <w:pStyle w:val="Paragrafoelenco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Fund plans to sell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shares in 4 four years </w:t>
      </w:r>
      <w:r w:rsidR="005F335E">
        <w:rPr>
          <w:rFonts w:ascii="Times New Roman" w:hAnsi="Times New Roman" w:cs="Times New Roman"/>
          <w:sz w:val="24"/>
          <w:szCs w:val="24"/>
          <w:lang w:val="en-US"/>
        </w:rPr>
        <w:t xml:space="preserve">(“exit event”). At the exit event, Shares B holders will benefit from a non-proportional distribution of the proceeds. </w:t>
      </w:r>
      <w:proofErr w:type="gramStart"/>
      <w:r w:rsidR="00C85061">
        <w:rPr>
          <w:rFonts w:ascii="Times New Roman" w:hAnsi="Times New Roman" w:cs="Times New Roman"/>
          <w:sz w:val="24"/>
          <w:szCs w:val="24"/>
          <w:lang w:val="en-US"/>
        </w:rPr>
        <w:t>In particular,</w:t>
      </w:r>
      <w:r w:rsidR="00EB5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5061">
        <w:rPr>
          <w:rFonts w:ascii="Times New Roman" w:hAnsi="Times New Roman" w:cs="Times New Roman"/>
          <w:sz w:val="24"/>
          <w:szCs w:val="24"/>
          <w:lang w:val="en-US"/>
        </w:rPr>
        <w:t>Shares</w:t>
      </w:r>
      <w:proofErr w:type="gramEnd"/>
      <w:r w:rsidR="00C85061">
        <w:rPr>
          <w:rFonts w:ascii="Times New Roman" w:hAnsi="Times New Roman" w:cs="Times New Roman"/>
          <w:sz w:val="24"/>
          <w:szCs w:val="24"/>
          <w:lang w:val="en-US"/>
        </w:rPr>
        <w:t xml:space="preserve"> B holders will get a given percentage of the </w:t>
      </w:r>
      <w:r w:rsidR="00DE1F4E">
        <w:rPr>
          <w:rFonts w:ascii="Times New Roman" w:hAnsi="Times New Roman" w:cs="Times New Roman"/>
          <w:sz w:val="24"/>
          <w:szCs w:val="24"/>
          <w:lang w:val="en-US"/>
        </w:rPr>
        <w:t xml:space="preserve">Net </w:t>
      </w:r>
      <w:r w:rsidR="00C85061">
        <w:rPr>
          <w:rFonts w:ascii="Times New Roman" w:hAnsi="Times New Roman" w:cs="Times New Roman"/>
          <w:sz w:val="24"/>
          <w:szCs w:val="24"/>
          <w:lang w:val="en-US"/>
        </w:rPr>
        <w:t xml:space="preserve">Capital Gain depending on the </w:t>
      </w:r>
      <w:r w:rsidR="0051541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85061">
        <w:rPr>
          <w:rFonts w:ascii="Times New Roman" w:hAnsi="Times New Roman" w:cs="Times New Roman"/>
          <w:sz w:val="24"/>
          <w:szCs w:val="24"/>
          <w:lang w:val="en-US"/>
        </w:rPr>
        <w:t>ash-on-</w:t>
      </w:r>
      <w:r w:rsidR="0051541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85061">
        <w:rPr>
          <w:rFonts w:ascii="Times New Roman" w:hAnsi="Times New Roman" w:cs="Times New Roman"/>
          <w:sz w:val="24"/>
          <w:szCs w:val="24"/>
          <w:lang w:val="en-US"/>
        </w:rPr>
        <w:t>ash (“CoC”) of the investment</w:t>
      </w:r>
      <w:r w:rsidR="00F5323B">
        <w:rPr>
          <w:rFonts w:ascii="Times New Roman" w:hAnsi="Times New Roman" w:cs="Times New Roman"/>
          <w:sz w:val="24"/>
          <w:szCs w:val="24"/>
          <w:lang w:val="en-US"/>
        </w:rPr>
        <w:t xml:space="preserve"> (henceforth the “Incentive”)</w:t>
      </w:r>
      <w:r w:rsidR="005154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F677D3" w14:textId="684D9798" w:rsidR="006F3993" w:rsidRDefault="00DE1F4E" w:rsidP="00DA7230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CoC is defined as the ratio of the Exit Price (i.e., the price at which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equity will be sold at the Exit Event) and €100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(i.e., the amount invested by the Fund and Managers). </w:t>
      </w:r>
      <w:r w:rsidR="00DA723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Net </w:t>
      </w:r>
      <w:r w:rsidR="00DA7230">
        <w:rPr>
          <w:rFonts w:ascii="Times New Roman" w:hAnsi="Times New Roman" w:cs="Times New Roman"/>
          <w:sz w:val="24"/>
          <w:szCs w:val="24"/>
          <w:lang w:val="en-US"/>
        </w:rPr>
        <w:t xml:space="preserve">Capital Gain is defined as the difference between the Exit Price and €100 </w:t>
      </w:r>
      <w:proofErr w:type="spellStart"/>
      <w:r w:rsidR="00DA7230"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less transaction costs (assumed 2% of the Exit Price)</w:t>
      </w:r>
      <w:r w:rsidR="00DA72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BD88F3" w14:textId="4FFDA40E" w:rsidR="00415417" w:rsidRDefault="00415417" w:rsidP="00DA7230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percentage of the Net Capital Gain to be distributed to Shares B holders are defined as follows: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415417" w:rsidRPr="00E5116B" w14:paraId="0ACEF470" w14:textId="77777777" w:rsidTr="00642319">
        <w:trPr>
          <w:trHeight w:val="340"/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323E4F" w:themeFill="text2" w:themeFillShade="BF"/>
            <w:vAlign w:val="center"/>
          </w:tcPr>
          <w:p w14:paraId="78C9DED0" w14:textId="77777777" w:rsidR="00415417" w:rsidRPr="00EC7667" w:rsidRDefault="00415417" w:rsidP="00642319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EC7667">
              <w:rPr>
                <w:rFonts w:ascii="Garamond" w:hAnsi="Garamond"/>
                <w:b/>
                <w:bCs/>
                <w:color w:val="FFFFFF" w:themeColor="background1"/>
                <w:sz w:val="20"/>
                <w:szCs w:val="20"/>
                <w:lang w:val="en-GB"/>
              </w:rPr>
              <w:lastRenderedPageBreak/>
              <w:t>Cash-on-Cash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323E4F" w:themeFill="text2" w:themeFillShade="BF"/>
            <w:vAlign w:val="center"/>
          </w:tcPr>
          <w:p w14:paraId="7375D73B" w14:textId="77777777" w:rsidR="00415417" w:rsidRPr="00EC7667" w:rsidRDefault="00415417" w:rsidP="00642319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EC7667">
              <w:rPr>
                <w:rFonts w:ascii="Garamond" w:hAnsi="Garamond"/>
                <w:b/>
                <w:bCs/>
                <w:color w:val="FFFFFF" w:themeColor="background1"/>
                <w:sz w:val="20"/>
                <w:szCs w:val="20"/>
                <w:lang w:val="en-GB"/>
              </w:rPr>
              <w:t>% Capital gain</w:t>
            </w:r>
          </w:p>
        </w:tc>
      </w:tr>
      <w:tr w:rsidR="00415417" w:rsidRPr="00E5116B" w14:paraId="178E3F8B" w14:textId="77777777" w:rsidTr="00642319">
        <w:trPr>
          <w:trHeight w:val="340"/>
          <w:jc w:val="center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08425DC" w14:textId="77777777" w:rsidR="00415417" w:rsidRPr="00EC7667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5116B">
              <w:rPr>
                <w:rFonts w:ascii="Garamond" w:hAnsi="Garamond"/>
                <w:sz w:val="20"/>
                <w:szCs w:val="20"/>
                <w:lang w:val="en-GB"/>
              </w:rPr>
              <w:t>CoC &lt;</w:t>
            </w:r>
            <w:r w:rsidRPr="00EC7667">
              <w:rPr>
                <w:rFonts w:ascii="Garamond" w:hAnsi="Garamond" w:cs="Arial"/>
                <w:sz w:val="20"/>
                <w:szCs w:val="20"/>
                <w:shd w:val="clear" w:color="auto" w:fill="FFFFFF"/>
              </w:rPr>
              <w:t xml:space="preserve"> 1,50x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8AD331A" w14:textId="77777777" w:rsidR="00415417" w:rsidRPr="00EC7667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5116B">
              <w:rPr>
                <w:rFonts w:ascii="Garamond" w:hAnsi="Garamond"/>
                <w:sz w:val="20"/>
                <w:szCs w:val="20"/>
                <w:lang w:val="en-GB"/>
              </w:rPr>
              <w:t>0,00%</w:t>
            </w:r>
          </w:p>
        </w:tc>
      </w:tr>
      <w:tr w:rsidR="00415417" w:rsidRPr="00E5116B" w14:paraId="243470C7" w14:textId="77777777" w:rsidTr="00642319">
        <w:trPr>
          <w:trHeight w:val="340"/>
          <w:jc w:val="center"/>
        </w:trPr>
        <w:tc>
          <w:tcPr>
            <w:tcW w:w="3402" w:type="dxa"/>
            <w:vAlign w:val="center"/>
          </w:tcPr>
          <w:p w14:paraId="47287BD5" w14:textId="77777777" w:rsidR="00415417" w:rsidRPr="00EC7667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5116B">
              <w:rPr>
                <w:rFonts w:ascii="Garamond" w:hAnsi="Garamond"/>
                <w:sz w:val="20"/>
                <w:szCs w:val="20"/>
                <w:lang w:val="en-GB"/>
              </w:rPr>
              <w:t>1,50x ≤ CoC ≤ 1,75x</w:t>
            </w:r>
          </w:p>
        </w:tc>
        <w:tc>
          <w:tcPr>
            <w:tcW w:w="3402" w:type="dxa"/>
            <w:vAlign w:val="center"/>
          </w:tcPr>
          <w:p w14:paraId="77236707" w14:textId="77777777" w:rsidR="00415417" w:rsidRPr="00EC7667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5116B">
              <w:rPr>
                <w:rFonts w:ascii="Garamond" w:hAnsi="Garamond"/>
                <w:sz w:val="20"/>
                <w:szCs w:val="20"/>
                <w:lang w:val="en-GB"/>
              </w:rPr>
              <w:t>2,00%</w:t>
            </w:r>
          </w:p>
        </w:tc>
      </w:tr>
      <w:tr w:rsidR="00415417" w:rsidRPr="00E5116B" w14:paraId="59017B41" w14:textId="77777777" w:rsidTr="00642319">
        <w:trPr>
          <w:trHeight w:val="340"/>
          <w:jc w:val="center"/>
        </w:trPr>
        <w:tc>
          <w:tcPr>
            <w:tcW w:w="3402" w:type="dxa"/>
            <w:vAlign w:val="center"/>
          </w:tcPr>
          <w:p w14:paraId="0AD7583D" w14:textId="77777777" w:rsidR="00415417" w:rsidRPr="00EC7667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proofErr w:type="spellStart"/>
            <w:r w:rsidRPr="00EC7667">
              <w:rPr>
                <w:rStyle w:val="fontstyle01"/>
                <w:sz w:val="20"/>
                <w:szCs w:val="20"/>
              </w:rPr>
              <w:t>CoC</w:t>
            </w:r>
            <w:proofErr w:type="spellEnd"/>
            <w:r w:rsidRPr="00EC7667">
              <w:rPr>
                <w:rStyle w:val="fontstyle01"/>
                <w:sz w:val="20"/>
                <w:szCs w:val="20"/>
              </w:rPr>
              <w:t xml:space="preserve"> = 2,00x </w:t>
            </w:r>
          </w:p>
        </w:tc>
        <w:tc>
          <w:tcPr>
            <w:tcW w:w="3402" w:type="dxa"/>
            <w:vAlign w:val="center"/>
          </w:tcPr>
          <w:p w14:paraId="0260DCC1" w14:textId="77777777" w:rsidR="00415417" w:rsidRPr="00EC7667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C7667">
              <w:rPr>
                <w:rStyle w:val="fontstyle01"/>
                <w:sz w:val="20"/>
                <w:szCs w:val="20"/>
              </w:rPr>
              <w:t>5,50%</w:t>
            </w:r>
          </w:p>
        </w:tc>
      </w:tr>
      <w:tr w:rsidR="00415417" w:rsidRPr="00E5116B" w14:paraId="1E2E19A5" w14:textId="77777777" w:rsidTr="00642319">
        <w:trPr>
          <w:trHeight w:val="340"/>
          <w:jc w:val="center"/>
        </w:trPr>
        <w:tc>
          <w:tcPr>
            <w:tcW w:w="3402" w:type="dxa"/>
            <w:vAlign w:val="center"/>
          </w:tcPr>
          <w:p w14:paraId="28E24DB9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proofErr w:type="spellStart"/>
            <w:r w:rsidRPr="00EC7667">
              <w:rPr>
                <w:rStyle w:val="fontstyle01"/>
                <w:sz w:val="20"/>
                <w:szCs w:val="20"/>
              </w:rPr>
              <w:t>CoC</w:t>
            </w:r>
            <w:proofErr w:type="spellEnd"/>
            <w:r w:rsidRPr="00EC7667">
              <w:rPr>
                <w:rStyle w:val="fontstyle01"/>
                <w:sz w:val="20"/>
                <w:szCs w:val="20"/>
              </w:rPr>
              <w:t xml:space="preserve"> = 2,50x </w:t>
            </w:r>
          </w:p>
        </w:tc>
        <w:tc>
          <w:tcPr>
            <w:tcW w:w="3402" w:type="dxa"/>
            <w:vAlign w:val="center"/>
          </w:tcPr>
          <w:p w14:paraId="0CCC8C46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C7667">
              <w:rPr>
                <w:rStyle w:val="fontstyle01"/>
                <w:sz w:val="20"/>
                <w:szCs w:val="20"/>
              </w:rPr>
              <w:t>7,0</w:t>
            </w:r>
            <w:r w:rsidRPr="00E5116B">
              <w:rPr>
                <w:rStyle w:val="fontstyle01"/>
                <w:sz w:val="20"/>
                <w:szCs w:val="20"/>
              </w:rPr>
              <w:t>0</w:t>
            </w:r>
            <w:r w:rsidRPr="00EC7667">
              <w:rPr>
                <w:rStyle w:val="fontstyle01"/>
                <w:sz w:val="20"/>
                <w:szCs w:val="20"/>
              </w:rPr>
              <w:t>%</w:t>
            </w:r>
          </w:p>
        </w:tc>
      </w:tr>
      <w:tr w:rsidR="00415417" w:rsidRPr="00E5116B" w14:paraId="1B0DFE9B" w14:textId="77777777" w:rsidTr="00642319">
        <w:trPr>
          <w:trHeight w:val="340"/>
          <w:jc w:val="center"/>
        </w:trPr>
        <w:tc>
          <w:tcPr>
            <w:tcW w:w="3402" w:type="dxa"/>
            <w:vAlign w:val="center"/>
          </w:tcPr>
          <w:p w14:paraId="699A9BF7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proofErr w:type="spellStart"/>
            <w:r w:rsidRPr="00EC7667">
              <w:rPr>
                <w:rStyle w:val="fontstyle01"/>
                <w:sz w:val="20"/>
                <w:szCs w:val="20"/>
              </w:rPr>
              <w:t>CoC</w:t>
            </w:r>
            <w:proofErr w:type="spellEnd"/>
            <w:r w:rsidRPr="00EC7667">
              <w:rPr>
                <w:rStyle w:val="fontstyle01"/>
                <w:sz w:val="20"/>
                <w:szCs w:val="20"/>
              </w:rPr>
              <w:t xml:space="preserve"> = 3,00x </w:t>
            </w:r>
          </w:p>
        </w:tc>
        <w:tc>
          <w:tcPr>
            <w:tcW w:w="3402" w:type="dxa"/>
            <w:vAlign w:val="center"/>
          </w:tcPr>
          <w:p w14:paraId="6B5E4871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C7667">
              <w:rPr>
                <w:rStyle w:val="fontstyle01"/>
                <w:sz w:val="20"/>
                <w:szCs w:val="20"/>
              </w:rPr>
              <w:t>8,0</w:t>
            </w:r>
            <w:r w:rsidRPr="00E5116B">
              <w:rPr>
                <w:rStyle w:val="fontstyle01"/>
                <w:sz w:val="20"/>
                <w:szCs w:val="20"/>
              </w:rPr>
              <w:t>0</w:t>
            </w:r>
            <w:r w:rsidRPr="00EC7667">
              <w:rPr>
                <w:rStyle w:val="fontstyle01"/>
                <w:sz w:val="20"/>
                <w:szCs w:val="20"/>
              </w:rPr>
              <w:t>%</w:t>
            </w:r>
          </w:p>
        </w:tc>
      </w:tr>
      <w:tr w:rsidR="00415417" w:rsidRPr="00E5116B" w14:paraId="35AB38F2" w14:textId="77777777" w:rsidTr="00642319">
        <w:trPr>
          <w:trHeight w:val="340"/>
          <w:jc w:val="center"/>
        </w:trPr>
        <w:tc>
          <w:tcPr>
            <w:tcW w:w="3402" w:type="dxa"/>
            <w:vAlign w:val="center"/>
          </w:tcPr>
          <w:p w14:paraId="02ED34FD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proofErr w:type="spellStart"/>
            <w:r w:rsidRPr="00EC7667">
              <w:rPr>
                <w:rStyle w:val="fontstyle01"/>
                <w:sz w:val="20"/>
                <w:szCs w:val="20"/>
              </w:rPr>
              <w:t>CoC</w:t>
            </w:r>
            <w:proofErr w:type="spellEnd"/>
            <w:r w:rsidRPr="00EC7667">
              <w:rPr>
                <w:rStyle w:val="fontstyle01"/>
                <w:sz w:val="20"/>
                <w:szCs w:val="20"/>
              </w:rPr>
              <w:t xml:space="preserve"> = 3,50x </w:t>
            </w:r>
          </w:p>
        </w:tc>
        <w:tc>
          <w:tcPr>
            <w:tcW w:w="3402" w:type="dxa"/>
            <w:vAlign w:val="center"/>
          </w:tcPr>
          <w:p w14:paraId="6116759F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C7667">
              <w:rPr>
                <w:rStyle w:val="fontstyle01"/>
                <w:sz w:val="20"/>
                <w:szCs w:val="20"/>
              </w:rPr>
              <w:t>9,50%</w:t>
            </w:r>
          </w:p>
        </w:tc>
      </w:tr>
      <w:tr w:rsidR="00415417" w:rsidRPr="00E5116B" w14:paraId="456FAD06" w14:textId="77777777" w:rsidTr="00642319">
        <w:trPr>
          <w:trHeight w:val="340"/>
          <w:jc w:val="center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4B460C7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proofErr w:type="spellStart"/>
            <w:r w:rsidRPr="00EC7667">
              <w:rPr>
                <w:rStyle w:val="fontstyle01"/>
                <w:sz w:val="20"/>
                <w:szCs w:val="20"/>
              </w:rPr>
              <w:t>CoC</w:t>
            </w:r>
            <w:proofErr w:type="spellEnd"/>
            <w:r w:rsidRPr="00EC7667">
              <w:rPr>
                <w:rStyle w:val="fontstyle01"/>
                <w:sz w:val="20"/>
                <w:szCs w:val="20"/>
              </w:rPr>
              <w:t xml:space="preserve"> ≥ 4,00x 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6F16300" w14:textId="77777777" w:rsidR="00415417" w:rsidRPr="00E5116B" w:rsidRDefault="00415417" w:rsidP="00642319">
            <w:pPr>
              <w:jc w:val="center"/>
              <w:rPr>
                <w:rFonts w:ascii="Garamond" w:hAnsi="Garamond"/>
                <w:sz w:val="20"/>
                <w:szCs w:val="20"/>
                <w:lang w:val="en-GB"/>
              </w:rPr>
            </w:pPr>
            <w:r w:rsidRPr="00EC7667">
              <w:rPr>
                <w:rStyle w:val="fontstyle01"/>
                <w:sz w:val="20"/>
                <w:szCs w:val="20"/>
              </w:rPr>
              <w:t>11</w:t>
            </w:r>
            <w:r w:rsidRPr="00E5116B">
              <w:rPr>
                <w:rStyle w:val="fontstyle01"/>
                <w:sz w:val="20"/>
                <w:szCs w:val="20"/>
              </w:rPr>
              <w:t>,</w:t>
            </w:r>
            <w:r w:rsidRPr="00EC7667">
              <w:rPr>
                <w:rStyle w:val="fontstyle01"/>
                <w:sz w:val="20"/>
                <w:szCs w:val="20"/>
              </w:rPr>
              <w:t>00%</w:t>
            </w:r>
          </w:p>
        </w:tc>
      </w:tr>
    </w:tbl>
    <w:p w14:paraId="50BCDF28" w14:textId="77777777" w:rsidR="00415417" w:rsidRDefault="00415417" w:rsidP="00415417">
      <w:pPr>
        <w:pStyle w:val="Paragrafoelenc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2E19" w14:textId="23349D79" w:rsidR="00415417" w:rsidRDefault="00EB52FC" w:rsidP="00415417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CoC is in between </w:t>
      </w:r>
      <w:r w:rsidR="00DE6B75">
        <w:rPr>
          <w:rFonts w:ascii="Times New Roman" w:hAnsi="Times New Roman" w:cs="Times New Roman"/>
          <w:sz w:val="24"/>
          <w:szCs w:val="24"/>
          <w:lang w:val="en-US"/>
        </w:rPr>
        <w:t>the thresholds indicated above</w:t>
      </w:r>
      <w:r>
        <w:rPr>
          <w:rFonts w:ascii="Times New Roman" w:hAnsi="Times New Roman" w:cs="Times New Roman"/>
          <w:sz w:val="24"/>
          <w:szCs w:val="24"/>
          <w:lang w:val="en-US"/>
        </w:rPr>
        <w:t>, the percentage of the Net Capital Gain will be computed through linear interpolation.</w:t>
      </w:r>
    </w:p>
    <w:p w14:paraId="3489F00B" w14:textId="3CF8F0E0" w:rsidR="00415417" w:rsidRDefault="00673CBF" w:rsidP="00415417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5323B">
        <w:rPr>
          <w:rFonts w:ascii="Times New Roman" w:hAnsi="Times New Roman" w:cs="Times New Roman"/>
          <w:sz w:val="24"/>
          <w:szCs w:val="24"/>
          <w:lang w:val="en-US"/>
        </w:rPr>
        <w:t>Incentive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paid to Shares B holders cannot exceed €50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 w:rsidR="00F532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2C171A" w14:textId="1147BAFD" w:rsidR="00F5323B" w:rsidRDefault="00F5323B" w:rsidP="00415417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proceeds remaining after the Incentive is paid will be distributed among all shareholders on a proportional basis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99% to Shares A e 1% to Shares B).</w:t>
      </w:r>
    </w:p>
    <w:p w14:paraId="07DD24FA" w14:textId="033ECB54" w:rsidR="00023C50" w:rsidRDefault="00023C50" w:rsidP="00415417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volatility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stocks is 2%</w:t>
      </w:r>
      <w:r>
        <w:rPr>
          <w:rStyle w:val="Rimandonotaapidipagina"/>
          <w:rFonts w:ascii="Times New Roman" w:hAnsi="Times New Roman" w:cs="Times New Roman"/>
          <w:sz w:val="24"/>
          <w:szCs w:val="24"/>
          <w:lang w:val="en-US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4AD2">
        <w:rPr>
          <w:rFonts w:ascii="Times New Roman" w:hAnsi="Times New Roman" w:cs="Times New Roman"/>
          <w:sz w:val="24"/>
          <w:szCs w:val="24"/>
          <w:lang w:val="en-US"/>
        </w:rPr>
        <w:t xml:space="preserve"> The risk-free rate is 0%.</w:t>
      </w:r>
    </w:p>
    <w:p w14:paraId="48B408D9" w14:textId="1ACFAB69" w:rsidR="00A348AE" w:rsidRPr="00771107" w:rsidRDefault="00A348AE" w:rsidP="00415417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711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Estimate the value of the Incentive and the overall value of Shares B.</w:t>
      </w:r>
    </w:p>
    <w:sectPr w:rsidR="00A348AE" w:rsidRPr="007711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ECD1" w14:textId="77777777" w:rsidR="00E50144" w:rsidRDefault="00E50144" w:rsidP="00023C50">
      <w:pPr>
        <w:spacing w:after="0" w:line="240" w:lineRule="auto"/>
      </w:pPr>
      <w:r>
        <w:separator/>
      </w:r>
    </w:p>
  </w:endnote>
  <w:endnote w:type="continuationSeparator" w:id="0">
    <w:p w14:paraId="1EE00D56" w14:textId="77777777" w:rsidR="00E50144" w:rsidRDefault="00E50144" w:rsidP="00023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F4F6" w14:textId="77777777" w:rsidR="00E50144" w:rsidRDefault="00E50144" w:rsidP="00023C50">
      <w:pPr>
        <w:spacing w:after="0" w:line="240" w:lineRule="auto"/>
      </w:pPr>
      <w:r>
        <w:separator/>
      </w:r>
    </w:p>
  </w:footnote>
  <w:footnote w:type="continuationSeparator" w:id="0">
    <w:p w14:paraId="75A9A136" w14:textId="77777777" w:rsidR="00E50144" w:rsidRDefault="00E50144" w:rsidP="00023C50">
      <w:pPr>
        <w:spacing w:after="0" w:line="240" w:lineRule="auto"/>
      </w:pPr>
      <w:r>
        <w:continuationSeparator/>
      </w:r>
    </w:p>
  </w:footnote>
  <w:footnote w:id="1">
    <w:p w14:paraId="7E1E3129" w14:textId="389769AD" w:rsidR="00023C50" w:rsidRPr="00023C50" w:rsidRDefault="00023C50" w:rsidP="00A348AE">
      <w:pPr>
        <w:pStyle w:val="Testonotaapidipagina"/>
        <w:jc w:val="both"/>
        <w:rPr>
          <w:lang w:val="en-US"/>
        </w:rPr>
      </w:pPr>
      <w:r>
        <w:rPr>
          <w:rStyle w:val="Rimandonotaapidipagina"/>
        </w:rPr>
        <w:footnoteRef/>
      </w:r>
      <w:r w:rsidRPr="00023C50">
        <w:rPr>
          <w:lang w:val="en-US"/>
        </w:rPr>
        <w:t xml:space="preserve"> The volatility of stock returns d</w:t>
      </w:r>
      <w:r>
        <w:rPr>
          <w:lang w:val="en-US"/>
        </w:rPr>
        <w:t xml:space="preserve">epends, among other things, on the leverage ratio (i.e., </w:t>
      </w:r>
      <w:r w:rsidR="00B36AE8">
        <w:rPr>
          <w:lang w:val="en-US"/>
        </w:rPr>
        <w:t xml:space="preserve">greater leverage will correspond, ceteris paribus, to greater volatility). </w:t>
      </w:r>
      <w:proofErr w:type="gramStart"/>
      <w:r w:rsidR="00B36AE8">
        <w:rPr>
          <w:lang w:val="en-US"/>
        </w:rPr>
        <w:t>In order to</w:t>
      </w:r>
      <w:proofErr w:type="gramEnd"/>
      <w:r w:rsidR="00B36AE8">
        <w:rPr>
          <w:lang w:val="en-US"/>
        </w:rPr>
        <w:t xml:space="preserve"> estimate the volatility corresponding to a different leverage ratio, one could proceed as follows. The asset volatility is the volatility of a portfolio composed of debt and equity. So, given the volatility and correlation of debt and equity, one can compute the asset volatility; from the asset volatility, one can derive the equity volatility corresponding to a different leverage ratio.</w:t>
      </w:r>
      <w:r w:rsidR="00A348AE">
        <w:rPr>
          <w:lang w:val="en-US"/>
        </w:rPr>
        <w:t xml:space="preserve"> Debt volatility is usually 30%-50% of equity volatility, and debt-equity correlation can be set in the 30%-50% range. To the purpose of this assignment, debt volatility is 40% of equity volatility and debt-equity correlation is 40%.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9A3"/>
    <w:multiLevelType w:val="hybridMultilevel"/>
    <w:tmpl w:val="1080462E"/>
    <w:lvl w:ilvl="0" w:tplc="AF64FEB6">
      <w:start w:val="1"/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7B3439A"/>
    <w:multiLevelType w:val="hybridMultilevel"/>
    <w:tmpl w:val="9F9A6CAC"/>
    <w:lvl w:ilvl="0" w:tplc="2E5AAFBE">
      <w:start w:val="1"/>
      <w:numFmt w:val="lowerRoman"/>
      <w:lvlText w:val="%1)"/>
      <w:lvlJc w:val="left"/>
      <w:pPr>
        <w:ind w:left="2844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959779E"/>
    <w:multiLevelType w:val="hybridMultilevel"/>
    <w:tmpl w:val="37A07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2A62"/>
    <w:multiLevelType w:val="hybridMultilevel"/>
    <w:tmpl w:val="37A07AB6"/>
    <w:lvl w:ilvl="0" w:tplc="C6DEC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3904">
    <w:abstractNumId w:val="3"/>
  </w:num>
  <w:num w:numId="2" w16cid:durableId="476531469">
    <w:abstractNumId w:val="1"/>
  </w:num>
  <w:num w:numId="3" w16cid:durableId="132450272">
    <w:abstractNumId w:val="0"/>
  </w:num>
  <w:num w:numId="4" w16cid:durableId="108804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6B"/>
    <w:rsid w:val="00023C50"/>
    <w:rsid w:val="00033B29"/>
    <w:rsid w:val="000E32DB"/>
    <w:rsid w:val="002C0A39"/>
    <w:rsid w:val="00377B4D"/>
    <w:rsid w:val="00415417"/>
    <w:rsid w:val="0050566B"/>
    <w:rsid w:val="0051541A"/>
    <w:rsid w:val="005D4AD2"/>
    <w:rsid w:val="005F335E"/>
    <w:rsid w:val="00673CBF"/>
    <w:rsid w:val="006F3993"/>
    <w:rsid w:val="00771107"/>
    <w:rsid w:val="00806027"/>
    <w:rsid w:val="009137DF"/>
    <w:rsid w:val="00A12A9F"/>
    <w:rsid w:val="00A348AE"/>
    <w:rsid w:val="00B36AE8"/>
    <w:rsid w:val="00C85061"/>
    <w:rsid w:val="00CE01AC"/>
    <w:rsid w:val="00DA7230"/>
    <w:rsid w:val="00DE1F4E"/>
    <w:rsid w:val="00DE6B75"/>
    <w:rsid w:val="00E50144"/>
    <w:rsid w:val="00EB104B"/>
    <w:rsid w:val="00EB52FC"/>
    <w:rsid w:val="00F5323B"/>
    <w:rsid w:val="00F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06DF"/>
  <w15:chartTrackingRefBased/>
  <w15:docId w15:val="{9AD80E0A-0E47-4325-B6CC-FE7A472E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56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566B"/>
    <w:pPr>
      <w:ind w:left="720"/>
      <w:contextualSpacing/>
    </w:pPr>
  </w:style>
  <w:style w:type="table" w:styleId="Grigliatabella">
    <w:name w:val="Table Grid"/>
    <w:basedOn w:val="Tabellanormale"/>
    <w:uiPriority w:val="39"/>
    <w:rsid w:val="0050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C8506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23C5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23C5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23C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E2AA-FF29-4718-8779-CB141E4B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Iannotta Giuliano Orlando (giulianoorlando.iannotta)</dc:creator>
  <cp:keywords/>
  <dc:description/>
  <cp:lastModifiedBy>Iannotta Giuliano Orlando (giulianoorlando.iannotta)</cp:lastModifiedBy>
  <cp:revision>20</cp:revision>
  <dcterms:created xsi:type="dcterms:W3CDTF">2022-06-07T12:09:00Z</dcterms:created>
  <dcterms:modified xsi:type="dcterms:W3CDTF">2022-06-08T07:01:00Z</dcterms:modified>
</cp:coreProperties>
</file>