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8D2" w:rsidRDefault="001B031B" w:rsidP="005F2F89">
      <w:pPr>
        <w:pStyle w:val="Titre1"/>
        <w:spacing w:line="360" w:lineRule="auto"/>
      </w:pPr>
      <w:bookmarkStart w:id="0" w:name="_Toc25585437"/>
      <w:r>
        <w:t>Estimation of risk measures applied to a portfolio of cryptocurrencies</w:t>
      </w:r>
      <w:bookmarkEnd w:id="0"/>
    </w:p>
    <w:p w:rsidR="005F2F89" w:rsidRPr="005F2F89" w:rsidRDefault="004808B9" w:rsidP="005F2F89">
      <w:pPr>
        <w:spacing w:line="240" w:lineRule="auto"/>
        <w:jc w:val="center"/>
      </w:pPr>
      <w:r>
        <w:t>Biagio</w:t>
      </w:r>
      <w:r w:rsidR="005F2F89">
        <w:t xml:space="preserve"> Zaffora</w:t>
      </w:r>
    </w:p>
    <w:p w:rsidR="005F2F89" w:rsidRDefault="005F2F89" w:rsidP="005F2F89">
      <w:pPr>
        <w:spacing w:line="240" w:lineRule="auto"/>
        <w:jc w:val="center"/>
      </w:pPr>
      <w:r>
        <w:t>Financial Econometrics – Pr. O. Scaillet (</w:t>
      </w:r>
      <w:r w:rsidR="000F0929">
        <w:t>fall</w:t>
      </w:r>
      <w:r>
        <w:t xml:space="preserve"> semester 2019/2020)</w:t>
      </w:r>
    </w:p>
    <w:p w:rsidR="00CC0721" w:rsidRDefault="00935A97" w:rsidP="005F2F89">
      <w:pPr>
        <w:spacing w:line="240" w:lineRule="auto"/>
        <w:jc w:val="center"/>
      </w:pPr>
      <w:r>
        <w:pict>
          <v:rect id="_x0000_i1025" style="width:0;height:1.5pt" o:hralign="center" o:hrstd="t" o:hr="t" fillcolor="#a0a0a0" stroked="f"/>
        </w:pict>
      </w:r>
    </w:p>
    <w:sdt>
      <w:sdtPr>
        <w:rPr>
          <w:iCs w:val="0"/>
          <w:szCs w:val="22"/>
        </w:rPr>
        <w:id w:val="1606306068"/>
        <w:docPartObj>
          <w:docPartGallery w:val="Table of Contents"/>
          <w:docPartUnique/>
        </w:docPartObj>
      </w:sdtPr>
      <w:sdtEndPr>
        <w:rPr>
          <w:b/>
          <w:bCs/>
          <w:noProof/>
        </w:rPr>
      </w:sdtEndPr>
      <w:sdtContent>
        <w:p w:rsidR="00CC0721" w:rsidRPr="00CC0721" w:rsidRDefault="00CC0721" w:rsidP="00CC0721">
          <w:pPr>
            <w:pStyle w:val="Lgende"/>
            <w:rPr>
              <w:b/>
            </w:rPr>
          </w:pPr>
          <w:r w:rsidRPr="00CC0721">
            <w:rPr>
              <w:b/>
            </w:rPr>
            <w:t>Contents</w:t>
          </w:r>
        </w:p>
        <w:p w:rsidR="0041091F" w:rsidRPr="00F32735" w:rsidRDefault="00935A97">
          <w:pPr>
            <w:pStyle w:val="TM1"/>
            <w:tabs>
              <w:tab w:val="right" w:leader="dot" w:pos="9016"/>
            </w:tabs>
            <w:rPr>
              <w:rFonts w:asciiTheme="minorHAnsi" w:eastAsiaTheme="minorEastAsia" w:hAnsiTheme="minorHAnsi"/>
              <w:noProof/>
              <w:sz w:val="22"/>
              <w:lang w:val="en-US" w:eastAsia="fr-FR"/>
            </w:rPr>
          </w:pPr>
          <w:hyperlink w:anchor="_Toc25585437" w:history="1">
            <w:r w:rsidR="0041091F" w:rsidRPr="00BE1E1B">
              <w:rPr>
                <w:rStyle w:val="Lienhypertexte"/>
                <w:noProof/>
              </w:rPr>
              <w:t>Estimation of risk measures applied to a portfolio of cryptocurrencies</w:t>
            </w:r>
            <w:r w:rsidR="0041091F">
              <w:rPr>
                <w:noProof/>
                <w:webHidden/>
              </w:rPr>
              <w:tab/>
            </w:r>
            <w:r>
              <w:rPr>
                <w:noProof/>
                <w:webHidden/>
              </w:rPr>
              <w:fldChar w:fldCharType="begin"/>
            </w:r>
            <w:r w:rsidR="0041091F">
              <w:rPr>
                <w:noProof/>
                <w:webHidden/>
              </w:rPr>
              <w:instrText xml:space="preserve"> PAGEREF _Toc25585437 \h </w:instrText>
            </w:r>
            <w:r>
              <w:rPr>
                <w:noProof/>
                <w:webHidden/>
              </w:rPr>
            </w:r>
            <w:r>
              <w:rPr>
                <w:noProof/>
                <w:webHidden/>
              </w:rPr>
              <w:fldChar w:fldCharType="separate"/>
            </w:r>
            <w:r w:rsidR="0041091F">
              <w:rPr>
                <w:noProof/>
                <w:webHidden/>
              </w:rPr>
              <w:t>1</w:t>
            </w:r>
            <w:r>
              <w:rPr>
                <w:noProof/>
                <w:webHidden/>
              </w:rPr>
              <w:fldChar w:fldCharType="end"/>
            </w:r>
          </w:hyperlink>
        </w:p>
        <w:p w:rsidR="0041091F" w:rsidRPr="004808B9" w:rsidRDefault="00935A97">
          <w:pPr>
            <w:pStyle w:val="TM2"/>
            <w:tabs>
              <w:tab w:val="left" w:pos="660"/>
              <w:tab w:val="right" w:leader="dot" w:pos="9016"/>
            </w:tabs>
            <w:rPr>
              <w:rFonts w:asciiTheme="minorHAnsi" w:eastAsiaTheme="minorEastAsia" w:hAnsiTheme="minorHAnsi"/>
              <w:noProof/>
              <w:sz w:val="22"/>
              <w:lang w:val="en-US" w:eastAsia="fr-FR"/>
            </w:rPr>
          </w:pPr>
          <w:hyperlink w:anchor="_Toc25585438" w:history="1">
            <w:r w:rsidR="0041091F" w:rsidRPr="00BE1E1B">
              <w:rPr>
                <w:rStyle w:val="Lienhypertexte"/>
                <w:noProof/>
              </w:rPr>
              <w:t>1.</w:t>
            </w:r>
            <w:r w:rsidR="0041091F" w:rsidRPr="004808B9">
              <w:rPr>
                <w:rFonts w:asciiTheme="minorHAnsi" w:eastAsiaTheme="minorEastAsia" w:hAnsiTheme="minorHAnsi"/>
                <w:noProof/>
                <w:sz w:val="22"/>
                <w:lang w:val="en-US" w:eastAsia="fr-FR"/>
              </w:rPr>
              <w:tab/>
            </w:r>
            <w:r w:rsidR="0041091F" w:rsidRPr="00BE1E1B">
              <w:rPr>
                <w:rStyle w:val="Lienhypertexte"/>
                <w:noProof/>
              </w:rPr>
              <w:t>Introduction</w:t>
            </w:r>
            <w:r w:rsidR="0041091F">
              <w:rPr>
                <w:noProof/>
                <w:webHidden/>
              </w:rPr>
              <w:tab/>
              <w:t>1</w:t>
            </w:r>
          </w:hyperlink>
        </w:p>
        <w:p w:rsidR="0041091F" w:rsidRPr="004808B9" w:rsidRDefault="00935A97">
          <w:pPr>
            <w:pStyle w:val="TM2"/>
            <w:tabs>
              <w:tab w:val="left" w:pos="660"/>
              <w:tab w:val="right" w:leader="dot" w:pos="9016"/>
            </w:tabs>
            <w:rPr>
              <w:rFonts w:asciiTheme="minorHAnsi" w:eastAsiaTheme="minorEastAsia" w:hAnsiTheme="minorHAnsi"/>
              <w:noProof/>
              <w:sz w:val="22"/>
              <w:lang w:val="en-US" w:eastAsia="fr-FR"/>
            </w:rPr>
          </w:pPr>
          <w:hyperlink w:anchor="_Toc25585439" w:history="1">
            <w:r w:rsidR="0041091F" w:rsidRPr="00BE1E1B">
              <w:rPr>
                <w:rStyle w:val="Lienhypertexte"/>
                <w:noProof/>
              </w:rPr>
              <w:t>2.</w:t>
            </w:r>
            <w:r w:rsidR="0041091F" w:rsidRPr="004808B9">
              <w:rPr>
                <w:rFonts w:asciiTheme="minorHAnsi" w:eastAsiaTheme="minorEastAsia" w:hAnsiTheme="minorHAnsi"/>
                <w:noProof/>
                <w:sz w:val="22"/>
                <w:lang w:val="en-US" w:eastAsia="fr-FR"/>
              </w:rPr>
              <w:tab/>
            </w:r>
            <w:r w:rsidR="0041091F" w:rsidRPr="00BE1E1B">
              <w:rPr>
                <w:rStyle w:val="Lienhypertexte"/>
                <w:noProof/>
              </w:rPr>
              <w:t>Estimation methods</w:t>
            </w:r>
            <w:r w:rsidR="0041091F">
              <w:rPr>
                <w:noProof/>
                <w:webHidden/>
              </w:rPr>
              <w:tab/>
              <w:t>2</w:t>
            </w:r>
          </w:hyperlink>
        </w:p>
        <w:p w:rsidR="0041091F" w:rsidRPr="00F32735" w:rsidRDefault="00935A97">
          <w:pPr>
            <w:pStyle w:val="TM3"/>
            <w:tabs>
              <w:tab w:val="left" w:pos="880"/>
              <w:tab w:val="right" w:leader="dot" w:pos="9016"/>
            </w:tabs>
            <w:rPr>
              <w:rFonts w:asciiTheme="minorHAnsi" w:eastAsiaTheme="minorEastAsia" w:hAnsiTheme="minorHAnsi"/>
              <w:noProof/>
              <w:sz w:val="22"/>
              <w:lang w:val="en-US" w:eastAsia="fr-FR"/>
            </w:rPr>
          </w:pPr>
          <w:hyperlink w:anchor="_Toc25585440" w:history="1">
            <w:r w:rsidR="0041091F" w:rsidRPr="00BE1E1B">
              <w:rPr>
                <w:rStyle w:val="Lienhypertexte"/>
                <w:noProof/>
              </w:rPr>
              <w:t>2.1</w:t>
            </w:r>
            <w:r w:rsidR="0041091F" w:rsidRPr="00F32735">
              <w:rPr>
                <w:rFonts w:asciiTheme="minorHAnsi" w:eastAsiaTheme="minorEastAsia" w:hAnsiTheme="minorHAnsi"/>
                <w:noProof/>
                <w:sz w:val="22"/>
                <w:lang w:val="en-US" w:eastAsia="fr-FR"/>
              </w:rPr>
              <w:tab/>
            </w:r>
            <w:r w:rsidR="0041091F" w:rsidRPr="00BE1E1B">
              <w:rPr>
                <w:rStyle w:val="Lienhypertexte"/>
                <w:noProof/>
              </w:rPr>
              <w:t>Gaussian approximation</w:t>
            </w:r>
            <w:r w:rsidR="0041091F">
              <w:rPr>
                <w:noProof/>
                <w:webHidden/>
              </w:rPr>
              <w:tab/>
              <w:t>2</w:t>
            </w:r>
          </w:hyperlink>
        </w:p>
        <w:p w:rsidR="0041091F" w:rsidRPr="00F32735" w:rsidRDefault="00935A97">
          <w:pPr>
            <w:pStyle w:val="TM3"/>
            <w:tabs>
              <w:tab w:val="left" w:pos="880"/>
              <w:tab w:val="right" w:leader="dot" w:pos="9016"/>
            </w:tabs>
            <w:rPr>
              <w:rFonts w:asciiTheme="minorHAnsi" w:eastAsiaTheme="minorEastAsia" w:hAnsiTheme="minorHAnsi"/>
              <w:noProof/>
              <w:sz w:val="22"/>
              <w:lang w:val="en-US" w:eastAsia="fr-FR"/>
            </w:rPr>
          </w:pPr>
          <w:hyperlink w:anchor="_Toc25585441" w:history="1">
            <w:r w:rsidR="0041091F" w:rsidRPr="00BE1E1B">
              <w:rPr>
                <w:rStyle w:val="Lienhypertexte"/>
                <w:noProof/>
              </w:rPr>
              <w:t>2.2</w:t>
            </w:r>
            <w:r w:rsidR="0041091F" w:rsidRPr="00F32735">
              <w:rPr>
                <w:rFonts w:asciiTheme="minorHAnsi" w:eastAsiaTheme="minorEastAsia" w:hAnsiTheme="minorHAnsi"/>
                <w:noProof/>
                <w:sz w:val="22"/>
                <w:lang w:val="en-US" w:eastAsia="fr-FR"/>
              </w:rPr>
              <w:tab/>
            </w:r>
            <w:r w:rsidR="0041091F" w:rsidRPr="00BE1E1B">
              <w:rPr>
                <w:rStyle w:val="Lienhypertexte"/>
                <w:noProof/>
              </w:rPr>
              <w:t>Historical data</w:t>
            </w:r>
            <w:r w:rsidR="0041091F">
              <w:rPr>
                <w:noProof/>
                <w:webHidden/>
              </w:rPr>
              <w:tab/>
              <w:t>3</w:t>
            </w:r>
          </w:hyperlink>
        </w:p>
        <w:p w:rsidR="0041091F" w:rsidRPr="00F32735" w:rsidRDefault="00935A97">
          <w:pPr>
            <w:pStyle w:val="TM3"/>
            <w:tabs>
              <w:tab w:val="left" w:pos="880"/>
              <w:tab w:val="right" w:leader="dot" w:pos="9016"/>
            </w:tabs>
            <w:rPr>
              <w:rFonts w:asciiTheme="minorHAnsi" w:eastAsiaTheme="minorEastAsia" w:hAnsiTheme="minorHAnsi"/>
              <w:noProof/>
              <w:sz w:val="22"/>
              <w:lang w:val="en-US" w:eastAsia="fr-FR"/>
            </w:rPr>
          </w:pPr>
          <w:hyperlink w:anchor="_Toc25585442" w:history="1">
            <w:r w:rsidR="0041091F" w:rsidRPr="00BE1E1B">
              <w:rPr>
                <w:rStyle w:val="Lienhypertexte"/>
                <w:noProof/>
              </w:rPr>
              <w:t>2.3</w:t>
            </w:r>
            <w:r w:rsidR="0041091F" w:rsidRPr="00F32735">
              <w:rPr>
                <w:rFonts w:asciiTheme="minorHAnsi" w:eastAsiaTheme="minorEastAsia" w:hAnsiTheme="minorHAnsi"/>
                <w:noProof/>
                <w:sz w:val="22"/>
                <w:lang w:val="en-US" w:eastAsia="fr-FR"/>
              </w:rPr>
              <w:tab/>
            </w:r>
            <w:r w:rsidR="0041091F" w:rsidRPr="00BE1E1B">
              <w:rPr>
                <w:rStyle w:val="Lienhypertexte"/>
                <w:noProof/>
              </w:rPr>
              <w:t>Kernel method</w:t>
            </w:r>
            <w:r w:rsidR="0041091F">
              <w:rPr>
                <w:noProof/>
                <w:webHidden/>
              </w:rPr>
              <w:tab/>
              <w:t>3</w:t>
            </w:r>
          </w:hyperlink>
        </w:p>
        <w:p w:rsidR="0041091F" w:rsidRPr="00F32735" w:rsidRDefault="00935A97">
          <w:pPr>
            <w:pStyle w:val="TM3"/>
            <w:tabs>
              <w:tab w:val="left" w:pos="880"/>
              <w:tab w:val="right" w:leader="dot" w:pos="9016"/>
            </w:tabs>
            <w:rPr>
              <w:rFonts w:asciiTheme="minorHAnsi" w:eastAsiaTheme="minorEastAsia" w:hAnsiTheme="minorHAnsi"/>
              <w:noProof/>
              <w:sz w:val="22"/>
              <w:lang w:val="en-US" w:eastAsia="fr-FR"/>
            </w:rPr>
          </w:pPr>
          <w:hyperlink w:anchor="_Toc25585443" w:history="1">
            <w:r w:rsidR="0041091F" w:rsidRPr="00BE1E1B">
              <w:rPr>
                <w:rStyle w:val="Lienhypertexte"/>
                <w:noProof/>
              </w:rPr>
              <w:t>2.4</w:t>
            </w:r>
            <w:r w:rsidR="0041091F" w:rsidRPr="00F32735">
              <w:rPr>
                <w:rFonts w:asciiTheme="minorHAnsi" w:eastAsiaTheme="minorEastAsia" w:hAnsiTheme="minorHAnsi"/>
                <w:noProof/>
                <w:sz w:val="22"/>
                <w:lang w:val="en-US" w:eastAsia="fr-FR"/>
              </w:rPr>
              <w:tab/>
            </w:r>
            <w:r w:rsidR="0041091F" w:rsidRPr="00BE1E1B">
              <w:rPr>
                <w:rStyle w:val="Lienhypertexte"/>
                <w:noProof/>
              </w:rPr>
              <w:t>Generalized Pareto Distribution</w:t>
            </w:r>
            <w:r w:rsidR="0041091F">
              <w:rPr>
                <w:noProof/>
                <w:webHidden/>
              </w:rPr>
              <w:tab/>
              <w:t>4</w:t>
            </w:r>
          </w:hyperlink>
        </w:p>
        <w:p w:rsidR="0041091F" w:rsidRPr="00F32735" w:rsidRDefault="00935A97">
          <w:pPr>
            <w:pStyle w:val="TM3"/>
            <w:tabs>
              <w:tab w:val="left" w:pos="880"/>
              <w:tab w:val="right" w:leader="dot" w:pos="9016"/>
            </w:tabs>
            <w:rPr>
              <w:rFonts w:asciiTheme="minorHAnsi" w:eastAsiaTheme="minorEastAsia" w:hAnsiTheme="minorHAnsi"/>
              <w:noProof/>
              <w:sz w:val="22"/>
              <w:lang w:val="en-US" w:eastAsia="fr-FR"/>
            </w:rPr>
          </w:pPr>
          <w:hyperlink w:anchor="_Toc25585444" w:history="1">
            <w:r w:rsidR="0041091F" w:rsidRPr="00BE1E1B">
              <w:rPr>
                <w:rStyle w:val="Lienhypertexte"/>
                <w:noProof/>
              </w:rPr>
              <w:t>2.5</w:t>
            </w:r>
            <w:r w:rsidR="0041091F" w:rsidRPr="00F32735">
              <w:rPr>
                <w:rFonts w:asciiTheme="minorHAnsi" w:eastAsiaTheme="minorEastAsia" w:hAnsiTheme="minorHAnsi"/>
                <w:noProof/>
                <w:sz w:val="22"/>
                <w:lang w:val="en-US" w:eastAsia="fr-FR"/>
              </w:rPr>
              <w:tab/>
            </w:r>
            <w:r w:rsidR="0041091F" w:rsidRPr="00BE1E1B">
              <w:rPr>
                <w:rStyle w:val="Lienhypertexte"/>
                <w:noProof/>
              </w:rPr>
              <w:t>Empirical confidence intervals using sub-sampling</w:t>
            </w:r>
            <w:r w:rsidR="0041091F">
              <w:rPr>
                <w:noProof/>
                <w:webHidden/>
              </w:rPr>
              <w:tab/>
              <w:t>5</w:t>
            </w:r>
          </w:hyperlink>
        </w:p>
        <w:p w:rsidR="0041091F" w:rsidRPr="00F32735" w:rsidRDefault="00935A97">
          <w:pPr>
            <w:pStyle w:val="TM2"/>
            <w:tabs>
              <w:tab w:val="left" w:pos="660"/>
              <w:tab w:val="right" w:leader="dot" w:pos="9016"/>
            </w:tabs>
            <w:rPr>
              <w:rFonts w:asciiTheme="minorHAnsi" w:eastAsiaTheme="minorEastAsia" w:hAnsiTheme="minorHAnsi"/>
              <w:noProof/>
              <w:sz w:val="22"/>
              <w:lang w:val="en-US" w:eastAsia="fr-FR"/>
            </w:rPr>
          </w:pPr>
          <w:hyperlink w:anchor="_Toc25585445" w:history="1">
            <w:r w:rsidR="0041091F" w:rsidRPr="00BE1E1B">
              <w:rPr>
                <w:rStyle w:val="Lienhypertexte"/>
                <w:noProof/>
              </w:rPr>
              <w:t>3.</w:t>
            </w:r>
            <w:r w:rsidR="0041091F" w:rsidRPr="00F32735">
              <w:rPr>
                <w:rFonts w:asciiTheme="minorHAnsi" w:eastAsiaTheme="minorEastAsia" w:hAnsiTheme="minorHAnsi"/>
                <w:noProof/>
                <w:sz w:val="22"/>
                <w:lang w:val="en-US" w:eastAsia="fr-FR"/>
              </w:rPr>
              <w:tab/>
            </w:r>
            <w:r w:rsidR="0041091F" w:rsidRPr="00BE1E1B">
              <w:rPr>
                <w:rStyle w:val="Lienhypertexte"/>
                <w:noProof/>
              </w:rPr>
              <w:t>Analysis of the results and discussion</w:t>
            </w:r>
            <w:r w:rsidR="0041091F">
              <w:rPr>
                <w:noProof/>
                <w:webHidden/>
              </w:rPr>
              <w:tab/>
              <w:t>6</w:t>
            </w:r>
          </w:hyperlink>
        </w:p>
        <w:p w:rsidR="0041091F" w:rsidRDefault="00935A97">
          <w:pPr>
            <w:pStyle w:val="TM2"/>
            <w:tabs>
              <w:tab w:val="left" w:pos="660"/>
              <w:tab w:val="right" w:leader="dot" w:pos="9016"/>
            </w:tabs>
            <w:rPr>
              <w:rFonts w:asciiTheme="minorHAnsi" w:eastAsiaTheme="minorEastAsia" w:hAnsiTheme="minorHAnsi"/>
              <w:noProof/>
              <w:sz w:val="22"/>
              <w:lang w:val="fr-FR" w:eastAsia="fr-FR"/>
            </w:rPr>
          </w:pPr>
          <w:hyperlink w:anchor="_Toc25585446" w:history="1">
            <w:r w:rsidR="0041091F" w:rsidRPr="00BE1E1B">
              <w:rPr>
                <w:rStyle w:val="Lienhypertexte"/>
                <w:noProof/>
              </w:rPr>
              <w:t>4.</w:t>
            </w:r>
            <w:r w:rsidR="0041091F">
              <w:rPr>
                <w:rFonts w:asciiTheme="minorHAnsi" w:eastAsiaTheme="minorEastAsia" w:hAnsiTheme="minorHAnsi"/>
                <w:noProof/>
                <w:sz w:val="22"/>
                <w:lang w:val="fr-FR" w:eastAsia="fr-FR"/>
              </w:rPr>
              <w:tab/>
            </w:r>
            <w:r w:rsidR="0041091F" w:rsidRPr="00BE1E1B">
              <w:rPr>
                <w:rStyle w:val="Lienhypertexte"/>
                <w:noProof/>
              </w:rPr>
              <w:t>Conclusion and perspectives</w:t>
            </w:r>
            <w:r w:rsidR="0041091F">
              <w:rPr>
                <w:noProof/>
                <w:webHidden/>
              </w:rPr>
              <w:tab/>
              <w:t>7</w:t>
            </w:r>
          </w:hyperlink>
        </w:p>
        <w:p w:rsidR="0041091F" w:rsidRDefault="00935A97">
          <w:pPr>
            <w:pStyle w:val="TM1"/>
            <w:tabs>
              <w:tab w:val="right" w:leader="dot" w:pos="9016"/>
            </w:tabs>
            <w:rPr>
              <w:rFonts w:asciiTheme="minorHAnsi" w:eastAsiaTheme="minorEastAsia" w:hAnsiTheme="minorHAnsi"/>
              <w:noProof/>
              <w:sz w:val="22"/>
              <w:lang w:val="fr-FR" w:eastAsia="fr-FR"/>
            </w:rPr>
          </w:pPr>
          <w:hyperlink w:anchor="_Toc25585447" w:history="1">
            <w:r w:rsidR="0041091F" w:rsidRPr="00BE1E1B">
              <w:rPr>
                <w:rStyle w:val="Lienhypertexte"/>
                <w:noProof/>
              </w:rPr>
              <w:t>Bibliography</w:t>
            </w:r>
            <w:r w:rsidR="0041091F">
              <w:rPr>
                <w:noProof/>
                <w:webHidden/>
              </w:rPr>
              <w:tab/>
              <w:t>8</w:t>
            </w:r>
          </w:hyperlink>
        </w:p>
        <w:p w:rsidR="00BF2DD3" w:rsidRDefault="00935A97" w:rsidP="00BF2DD3"/>
      </w:sdtContent>
    </w:sdt>
    <w:p w:rsidR="00BF2DD3" w:rsidRDefault="00935A97" w:rsidP="00BF2DD3">
      <w:r>
        <w:pict>
          <v:rect id="_x0000_i1026" style="width:0;height:1.5pt" o:hralign="center" o:hrstd="t" o:hr="t" fillcolor="#a0a0a0" stroked="f"/>
        </w:pict>
      </w:r>
    </w:p>
    <w:p w:rsidR="001B031B" w:rsidRDefault="001B031B" w:rsidP="001B031B">
      <w:pPr>
        <w:pStyle w:val="Titre2"/>
        <w:numPr>
          <w:ilvl w:val="0"/>
          <w:numId w:val="3"/>
        </w:numPr>
      </w:pPr>
      <w:bookmarkStart w:id="1" w:name="_Ref25263087"/>
      <w:bookmarkStart w:id="2" w:name="_Toc25585438"/>
      <w:r>
        <w:t>Introduction</w:t>
      </w:r>
      <w:bookmarkEnd w:id="1"/>
      <w:bookmarkEnd w:id="2"/>
    </w:p>
    <w:p w:rsidR="00FB4A08" w:rsidRDefault="00FB4A08" w:rsidP="00FB4A08">
      <w:r>
        <w:t xml:space="preserve">In the present study, we investigate </w:t>
      </w:r>
      <w:r w:rsidR="00F47929">
        <w:t xml:space="preserve">two important </w:t>
      </w:r>
      <w:r>
        <w:t>risk measures</w:t>
      </w:r>
      <w:r w:rsidR="00F47929">
        <w:t>:</w:t>
      </w:r>
      <w:r>
        <w:t xml:space="preserve"> Value-at-Risk (VaR) and Expected Shortfall (ES) </w:t>
      </w:r>
      <w:r w:rsidR="00F47929">
        <w:t>within the context of</w:t>
      </w:r>
      <w:r>
        <w:t xml:space="preserve"> a portfolio of cryptocurrencies. In particular, we estimate each risk measure using four techniques that are used in risk management</w:t>
      </w:r>
      <w:r w:rsidR="009F58EC">
        <w:t xml:space="preserve"> </w:t>
      </w:r>
      <w:sdt>
        <w:sdtPr>
          <w:id w:val="1532992217"/>
          <w:citation/>
        </w:sdtPr>
        <w:sdtContent>
          <w:r w:rsidR="009F58EC" w:rsidRPr="009F58EC">
            <w:rPr>
              <w:noProof/>
              <w:lang w:val="en-US"/>
            </w:rPr>
            <w:t>[1]</w:t>
          </w:r>
        </w:sdtContent>
      </w:sdt>
      <w:r>
        <w:t xml:space="preserve">, namely estimation under Gaussian approximation, estimation using historical data, </w:t>
      </w:r>
      <w:r w:rsidR="008F40EF">
        <w:t>estimation using a</w:t>
      </w:r>
      <w:r>
        <w:t xml:space="preserve"> kernel approach and estimation </w:t>
      </w:r>
      <w:r w:rsidR="006C6A98">
        <w:t>under the Generalized Pareto Distribution (GPD)</w:t>
      </w:r>
      <w:r w:rsidR="00D663B8">
        <w:t xml:space="preserve"> assumption</w:t>
      </w:r>
      <w:r w:rsidR="006C6A98">
        <w:t>.</w:t>
      </w:r>
    </w:p>
    <w:p w:rsidR="008F40EF" w:rsidRDefault="00935A97" w:rsidP="00FB4A08">
      <w:r>
        <w:fldChar w:fldCharType="begin"/>
      </w:r>
      <w:r w:rsidR="00AD7884">
        <w:instrText xml:space="preserve"> REF _Ref26556480 \h </w:instrText>
      </w:r>
      <w:r>
        <w:fldChar w:fldCharType="separate"/>
      </w:r>
      <w:r w:rsidR="00AD7884">
        <w:t xml:space="preserve">Equation </w:t>
      </w:r>
      <w:r w:rsidR="00AD7884">
        <w:rPr>
          <w:noProof/>
        </w:rPr>
        <w:t>1</w:t>
      </w:r>
      <w:r>
        <w:fldChar w:fldCharType="end"/>
      </w:r>
      <w:r w:rsidR="0032252F">
        <w:t xml:space="preserve"> shows a definition of</w:t>
      </w:r>
      <w:r w:rsidR="008F40EF">
        <w:t xml:space="preserve"> Value-at-Risk using a probability notation. </w:t>
      </w:r>
      <w:r w:rsidR="00947BBD">
        <w:t>In particular</w:t>
      </w:r>
      <w:r w:rsidR="008F40EF">
        <w:t xml:space="preserve">, the Value-at-Risk quantifies the probability that, in a given day, the loss associated with an investment (for instance, a portfolio of cryptocurrencies) is above a threshold called </w:t>
      </w:r>
      <w:r w:rsidR="001272D7">
        <w:t>VaR.</w:t>
      </w:r>
      <w:r w:rsidR="008F40EF">
        <w:t xml:space="preserve"> </w:t>
      </w:r>
      <w:r w:rsidR="00AD7884">
        <w:t xml:space="preserve">In </w:t>
      </w:r>
      <w:r>
        <w:fldChar w:fldCharType="begin"/>
      </w:r>
      <w:r w:rsidR="00AD7884">
        <w:instrText xml:space="preserve"> REF _Ref26556480 \h </w:instrText>
      </w:r>
      <w:r>
        <w:fldChar w:fldCharType="separate"/>
      </w:r>
      <w:r w:rsidR="00AD7884">
        <w:t xml:space="preserve">Equation </w:t>
      </w:r>
      <w:r w:rsidR="00AD7884">
        <w:rPr>
          <w:noProof/>
        </w:rPr>
        <w:t>1</w:t>
      </w:r>
      <w:r>
        <w:fldChar w:fldCharType="end"/>
      </w:r>
      <w:r w:rsidR="00A7160C">
        <w:t xml:space="preserve">, the quantity </w:t>
      </w:r>
      <m:oMath>
        <m:r>
          <w:rPr>
            <w:rFonts w:ascii="Cambria Math" w:hAnsi="Cambria Math"/>
          </w:rPr>
          <m:t>α</m:t>
        </m:r>
      </m:oMath>
      <w:r w:rsidR="00A7160C">
        <w:rPr>
          <w:rFonts w:eastAsiaTheme="minorEastAsia"/>
        </w:rPr>
        <w:t xml:space="preserve"> represents the probability that the loss is above VaR and is commonly chosen </w:t>
      </w:r>
      <w:r w:rsidR="004061F3">
        <w:rPr>
          <w:rFonts w:eastAsiaTheme="minorEastAsia"/>
        </w:rPr>
        <w:t xml:space="preserve">to be </w:t>
      </w:r>
      <w:r w:rsidR="00A7160C">
        <w:rPr>
          <w:rFonts w:eastAsiaTheme="minorEastAsia"/>
        </w:rPr>
        <w:t>equal to either 5% or 1%.</w:t>
      </w:r>
    </w:p>
    <w:p w:rsidR="008F40EF" w:rsidRPr="008F40EF" w:rsidRDefault="008F40EF" w:rsidP="00FB4A08">
      <w:pPr>
        <w:rPr>
          <w:rFonts w:eastAsiaTheme="minorEastAsia"/>
        </w:rPr>
      </w:pPr>
      <m:oMathPara>
        <m:oMath>
          <m:r>
            <w:rPr>
              <w:rFonts w:ascii="Cambria Math" w:hAnsi="Cambria Math"/>
            </w:rPr>
            <m:t>P[Loss&gt;VaR]=α</m:t>
          </m:r>
        </m:oMath>
      </m:oMathPara>
    </w:p>
    <w:p w:rsidR="008F40EF" w:rsidRDefault="005F3A42" w:rsidP="005F3A42">
      <w:pPr>
        <w:pStyle w:val="Lgende"/>
        <w:jc w:val="center"/>
      </w:pPr>
      <w:bookmarkStart w:id="3" w:name="_Ref26556480"/>
      <w:r>
        <w:t xml:space="preserve">Equation </w:t>
      </w:r>
      <w:fldSimple w:instr=" SEQ Équation \* ARABIC ">
        <w:r w:rsidR="00A1413E">
          <w:rPr>
            <w:noProof/>
          </w:rPr>
          <w:t>1</w:t>
        </w:r>
      </w:fldSimple>
      <w:bookmarkEnd w:id="3"/>
      <w:r>
        <w:t xml:space="preserve">. </w:t>
      </w:r>
      <w:r w:rsidR="008F40EF">
        <w:t xml:space="preserve">Definition of Value-at-Risk </w:t>
      </w:r>
      <w:sdt>
        <w:sdtPr>
          <w:id w:val="1882128234"/>
          <w:citation/>
        </w:sdtPr>
        <w:sdtContent>
          <w:r w:rsidR="00935A97">
            <w:fldChar w:fldCharType="begin"/>
          </w:r>
          <w:r w:rsidR="008F40EF">
            <w:rPr>
              <w:lang w:val="en-US"/>
            </w:rPr>
            <w:instrText xml:space="preserve"> CITATION Jor06 \l 1033 </w:instrText>
          </w:r>
          <w:r w:rsidR="00935A97">
            <w:fldChar w:fldCharType="separate"/>
          </w:r>
          <w:r w:rsidR="006E4597" w:rsidRPr="006E4597">
            <w:rPr>
              <w:noProof/>
              <w:lang w:val="en-US"/>
            </w:rPr>
            <w:t>[1]</w:t>
          </w:r>
          <w:r w:rsidR="00935A97">
            <w:fldChar w:fldCharType="end"/>
          </w:r>
        </w:sdtContent>
      </w:sdt>
      <w:r w:rsidR="008F40EF">
        <w:t>.</w:t>
      </w:r>
    </w:p>
    <w:p w:rsidR="008F40EF" w:rsidRDefault="00186FA1" w:rsidP="004B0521">
      <w:pPr>
        <w:pStyle w:val="Notedebasdepage"/>
      </w:pPr>
      <w:r>
        <w:t xml:space="preserve">The risk measure VaR is </w:t>
      </w:r>
      <w:r w:rsidR="004061F3">
        <w:t xml:space="preserve">often </w:t>
      </w:r>
      <w:r>
        <w:t xml:space="preserve">criticised as it </w:t>
      </w:r>
      <w:r w:rsidR="00947BBD">
        <w:t>does not allow</w:t>
      </w:r>
      <w:r>
        <w:t xml:space="preserve"> to quantify the extent of the losses when the VaR threshold is encompassed </w:t>
      </w:r>
      <w:sdt>
        <w:sdtPr>
          <w:id w:val="-1465500584"/>
          <w:citation/>
        </w:sdtPr>
        <w:sdtContent>
          <w:r w:rsidRPr="00186FA1">
            <w:rPr>
              <w:noProof/>
              <w:lang w:val="en-US"/>
            </w:rPr>
            <w:t>[2]</w:t>
          </w:r>
        </w:sdtContent>
      </w:sdt>
      <w:r>
        <w:t xml:space="preserve">. For this reason, a second risk measure called Expected Shortfall is calculated to estimate the expected loss, </w:t>
      </w:r>
      <w:r w:rsidR="008436B5">
        <w:t>given that</w:t>
      </w:r>
      <w:r>
        <w:t xml:space="preserve"> the</w:t>
      </w:r>
      <w:r w:rsidR="00AD7884">
        <w:t xml:space="preserve"> loss is above VaR. </w:t>
      </w:r>
      <w:r w:rsidR="00935A97">
        <w:fldChar w:fldCharType="begin"/>
      </w:r>
      <w:r w:rsidR="00AD7884">
        <w:instrText xml:space="preserve"> REF _Ref26556563 \h </w:instrText>
      </w:r>
      <w:r w:rsidR="00935A97">
        <w:fldChar w:fldCharType="separate"/>
      </w:r>
      <w:r w:rsidR="00AD7884">
        <w:t xml:space="preserve">Equation </w:t>
      </w:r>
      <w:r w:rsidR="00AD7884">
        <w:rPr>
          <w:noProof/>
        </w:rPr>
        <w:t>2</w:t>
      </w:r>
      <w:r w:rsidR="00935A97">
        <w:fldChar w:fldCharType="end"/>
      </w:r>
      <w:r>
        <w:t xml:space="preserve"> gives a definition of ES using </w:t>
      </w:r>
      <w:r w:rsidR="008436B5">
        <w:t xml:space="preserve">the probabilistic concept </w:t>
      </w:r>
      <w:r>
        <w:t>of conditional expectation.</w:t>
      </w:r>
    </w:p>
    <w:p w:rsidR="00186FA1" w:rsidRDefault="00186FA1" w:rsidP="004B0521">
      <w:pPr>
        <w:pStyle w:val="Notedebasdepage"/>
      </w:pPr>
    </w:p>
    <w:p w:rsidR="00186FA1" w:rsidRPr="008436B5" w:rsidRDefault="00186FA1" w:rsidP="004B0521">
      <w:pPr>
        <w:pStyle w:val="Notedebasdepage"/>
        <w:rPr>
          <w:rFonts w:eastAsiaTheme="minorEastAsia"/>
        </w:rPr>
      </w:pPr>
      <m:oMathPara>
        <m:oMath>
          <m:r>
            <w:rPr>
              <w:rFonts w:ascii="Cambria Math" w:hAnsi="Cambria Math"/>
            </w:rPr>
            <m:t>ES=E[Loss|Loss&gt;VaR]</m:t>
          </m:r>
        </m:oMath>
      </m:oMathPara>
    </w:p>
    <w:p w:rsidR="008436B5" w:rsidRPr="008436B5" w:rsidRDefault="008436B5" w:rsidP="004B0521">
      <w:pPr>
        <w:pStyle w:val="Notedebasdepage"/>
        <w:rPr>
          <w:rFonts w:eastAsiaTheme="minorEastAsia"/>
        </w:rPr>
      </w:pPr>
    </w:p>
    <w:p w:rsidR="008436B5" w:rsidRDefault="0054579E" w:rsidP="0054579E">
      <w:pPr>
        <w:pStyle w:val="Lgende"/>
        <w:jc w:val="center"/>
      </w:pPr>
      <w:bookmarkStart w:id="4" w:name="_Ref26556563"/>
      <w:r>
        <w:t xml:space="preserve">Equation </w:t>
      </w:r>
      <w:fldSimple w:instr=" SEQ Équation \* ARABIC ">
        <w:r w:rsidR="00A1413E">
          <w:rPr>
            <w:noProof/>
          </w:rPr>
          <w:t>2</w:t>
        </w:r>
      </w:fldSimple>
      <w:bookmarkEnd w:id="4"/>
      <w:r>
        <w:t xml:space="preserve">. </w:t>
      </w:r>
      <w:r w:rsidR="008436B5">
        <w:t xml:space="preserve">Definition of Expected Shortfall </w:t>
      </w:r>
      <w:sdt>
        <w:sdtPr>
          <w:id w:val="648404168"/>
          <w:citation/>
        </w:sdtPr>
        <w:sdtContent>
          <w:r w:rsidR="00935A97">
            <w:fldChar w:fldCharType="begin"/>
          </w:r>
          <w:r w:rsidR="008436B5">
            <w:rPr>
              <w:lang w:val="en-US"/>
            </w:rPr>
            <w:instrText xml:space="preserve"> CITATION Jor06 \l 1033 </w:instrText>
          </w:r>
          <w:r w:rsidR="00935A97">
            <w:fldChar w:fldCharType="separate"/>
          </w:r>
          <w:r w:rsidR="006E4597" w:rsidRPr="006E4597">
            <w:rPr>
              <w:noProof/>
              <w:lang w:val="en-US"/>
            </w:rPr>
            <w:t>[1]</w:t>
          </w:r>
          <w:r w:rsidR="00935A97">
            <w:fldChar w:fldCharType="end"/>
          </w:r>
        </w:sdtContent>
      </w:sdt>
      <w:r w:rsidR="008436B5">
        <w:t>.</w:t>
      </w:r>
    </w:p>
    <w:p w:rsidR="001B031B" w:rsidRDefault="001A179B" w:rsidP="001A179B">
      <w:pPr>
        <w:rPr>
          <w:sz w:val="18"/>
          <w:szCs w:val="18"/>
        </w:rPr>
      </w:pPr>
      <w:r>
        <w:t xml:space="preserve">The main goal of our study is to quantify and compare the VaR and ES using different methods. </w:t>
      </w:r>
      <w:r w:rsidR="004061F3">
        <w:t>We considered a</w:t>
      </w:r>
      <w:r w:rsidR="00B1702B">
        <w:t xml:space="preserve"> portfolio of </w:t>
      </w:r>
      <w:r w:rsidR="00011EA3">
        <w:t>five</w:t>
      </w:r>
      <w:r w:rsidR="00B1702B">
        <w:t xml:space="preserve"> cryptocurrenci</w:t>
      </w:r>
      <w:r w:rsidR="00114CFB">
        <w:t xml:space="preserve">es (see </w:t>
      </w:r>
      <w:r w:rsidR="00935A97">
        <w:fldChar w:fldCharType="begin"/>
      </w:r>
      <w:r w:rsidR="00114CFB">
        <w:instrText xml:space="preserve"> REF _Ref26556598 \h </w:instrText>
      </w:r>
      <w:r w:rsidR="00935A97">
        <w:fldChar w:fldCharType="separate"/>
      </w:r>
      <w:r w:rsidR="00114CFB">
        <w:t xml:space="preserve">Table </w:t>
      </w:r>
      <w:r w:rsidR="00114CFB">
        <w:rPr>
          <w:noProof/>
        </w:rPr>
        <w:t>1</w:t>
      </w:r>
      <w:r w:rsidR="00935A97">
        <w:fldChar w:fldCharType="end"/>
      </w:r>
      <w:r w:rsidR="00011EA3">
        <w:t>). We selected the currenc</w:t>
      </w:r>
      <w:r w:rsidR="008012E4">
        <w:t>ies using two</w:t>
      </w:r>
      <w:r w:rsidR="00011EA3">
        <w:t xml:space="preserve"> simple </w:t>
      </w:r>
      <w:r w:rsidR="007D6791">
        <w:t>criteria</w:t>
      </w:r>
      <w:r w:rsidR="00011EA3">
        <w:t>: the cryptocurrency must</w:t>
      </w:r>
      <w:r w:rsidR="00044CC5">
        <w:t xml:space="preserve"> </w:t>
      </w:r>
      <w:r w:rsidR="00044CC5" w:rsidRPr="00044CC5">
        <w:t xml:space="preserve">(i) </w:t>
      </w:r>
      <w:r w:rsidR="00011EA3">
        <w:t xml:space="preserve">exist </w:t>
      </w:r>
      <w:r w:rsidR="00593C4B">
        <w:t>for</w:t>
      </w:r>
      <w:r w:rsidR="00011EA3">
        <w:t xml:space="preserve"> at least 4 years and </w:t>
      </w:r>
      <w:r w:rsidR="00593C4B">
        <w:t>(ii)</w:t>
      </w:r>
      <w:r w:rsidR="00011EA3">
        <w:t xml:space="preserve"> rank in the top ten </w:t>
      </w:r>
      <w:r w:rsidR="00A41360">
        <w:t>for</w:t>
      </w:r>
      <w:r w:rsidR="00011EA3">
        <w:t xml:space="preserve"> market capitalization</w:t>
      </w:r>
      <w:r w:rsidR="00EC00E7">
        <w:t xml:space="preserve"> (as of November 4</w:t>
      </w:r>
      <w:r w:rsidR="00EC00E7" w:rsidRPr="00EC00E7">
        <w:rPr>
          <w:vertAlign w:val="superscript"/>
        </w:rPr>
        <w:t>th</w:t>
      </w:r>
      <w:r w:rsidR="00EC00E7">
        <w:t>, 2019)</w:t>
      </w:r>
      <w:r w:rsidR="00011EA3">
        <w:t>.</w:t>
      </w:r>
      <w:r w:rsidR="00EC00E7">
        <w:t xml:space="preserve"> We collected the data using </w:t>
      </w:r>
      <w:r w:rsidR="00EE2A5E">
        <w:t>“</w:t>
      </w:r>
      <w:r w:rsidR="008012E4">
        <w:t>C</w:t>
      </w:r>
      <w:r w:rsidR="00EC00E7">
        <w:t>oin</w:t>
      </w:r>
      <w:r w:rsidR="008012E4">
        <w:t xml:space="preserve"> M</w:t>
      </w:r>
      <w:r w:rsidR="00EC00E7">
        <w:t>arket</w:t>
      </w:r>
      <w:r w:rsidR="008012E4">
        <w:t xml:space="preserve"> C</w:t>
      </w:r>
      <w:r w:rsidR="00EC00E7">
        <w:t>ap</w:t>
      </w:r>
      <w:r w:rsidR="00EE2A5E">
        <w:t>”</w:t>
      </w:r>
      <w:r w:rsidR="008012E4">
        <w:t xml:space="preserve"> </w:t>
      </w:r>
      <w:sdt>
        <w:sdtPr>
          <w:id w:val="-982303553"/>
          <w:citation/>
        </w:sdtPr>
        <w:sdtContent>
          <w:r w:rsidR="00935A97">
            <w:fldChar w:fldCharType="begin"/>
          </w:r>
          <w:r w:rsidR="005B7CE7">
            <w:rPr>
              <w:lang w:val="en-US"/>
            </w:rPr>
            <w:instrText xml:space="preserve">CITATION Coi19 \l 1033 </w:instrText>
          </w:r>
          <w:r w:rsidR="00935A97">
            <w:fldChar w:fldCharType="separate"/>
          </w:r>
          <w:r w:rsidR="006E4597" w:rsidRPr="006E4597">
            <w:rPr>
              <w:noProof/>
              <w:lang w:val="en-US"/>
            </w:rPr>
            <w:t>[2]</w:t>
          </w:r>
          <w:r w:rsidR="00935A97">
            <w:fldChar w:fldCharType="end"/>
          </w:r>
        </w:sdtContent>
      </w:sdt>
      <w:r w:rsidR="008012E4">
        <w:t>,</w:t>
      </w:r>
      <w:r w:rsidR="00044CC5">
        <w:t xml:space="preserve"> </w:t>
      </w:r>
      <w:r w:rsidR="00EE2A5E">
        <w:t xml:space="preserve">an online service </w:t>
      </w:r>
      <w:r w:rsidR="00044CC5">
        <w:t>that</w:t>
      </w:r>
      <w:r w:rsidR="008012E4">
        <w:t xml:space="preserve"> list</w:t>
      </w:r>
      <w:r w:rsidR="00044CC5">
        <w:t>s</w:t>
      </w:r>
      <w:r w:rsidR="008012E4">
        <w:t xml:space="preserve"> all the available and traded cryptocurrencies</w:t>
      </w:r>
      <w:r w:rsidR="00A41360">
        <w:t xml:space="preserve"> </w:t>
      </w:r>
      <w:r w:rsidR="008012E4">
        <w:t>from the major trading platforms.</w:t>
      </w:r>
      <w:r w:rsidR="00ED21B0">
        <w:t xml:space="preserve"> </w:t>
      </w:r>
      <w:r w:rsidR="00F47F62">
        <w:t xml:space="preserve">The data covers the time spanning from </w:t>
      </w:r>
      <w:r w:rsidR="00F47F62">
        <w:lastRenderedPageBreak/>
        <w:t>August the 7</w:t>
      </w:r>
      <w:r w:rsidR="00F47F62" w:rsidRPr="00F47F62">
        <w:rPr>
          <w:vertAlign w:val="superscript"/>
        </w:rPr>
        <w:t>th</w:t>
      </w:r>
      <w:r w:rsidR="00F47F62">
        <w:t>, 2015 to November the 4</w:t>
      </w:r>
      <w:r w:rsidR="00F47F62" w:rsidRPr="00F47F62">
        <w:rPr>
          <w:vertAlign w:val="superscript"/>
        </w:rPr>
        <w:t>th</w:t>
      </w:r>
      <w:r w:rsidR="00F47F62">
        <w:t xml:space="preserve">, 2019 and consists of 1551 observations. </w:t>
      </w:r>
      <w:r w:rsidR="00935A97">
        <w:fldChar w:fldCharType="begin"/>
      </w:r>
      <w:r w:rsidR="00114CFB">
        <w:instrText xml:space="preserve"> REF _Ref26556598 \h </w:instrText>
      </w:r>
      <w:r w:rsidR="00935A97">
        <w:fldChar w:fldCharType="separate"/>
      </w:r>
      <w:r w:rsidR="00114CFB">
        <w:t xml:space="preserve">Table </w:t>
      </w:r>
      <w:r w:rsidR="00114CFB">
        <w:rPr>
          <w:noProof/>
        </w:rPr>
        <w:t>1</w:t>
      </w:r>
      <w:r w:rsidR="00935A97">
        <w:fldChar w:fldCharType="end"/>
      </w:r>
      <w:r w:rsidR="008650CF">
        <w:t xml:space="preserve"> shows the cryptocurrencies symbols, name</w:t>
      </w:r>
      <w:r w:rsidR="0032252F">
        <w:t>s</w:t>
      </w:r>
      <w:r w:rsidR="008650CF">
        <w:t>, market capitalization</w:t>
      </w:r>
      <w:r w:rsidR="0032252F">
        <w:t>s</w:t>
      </w:r>
      <w:r w:rsidR="008650CF">
        <w:t>, t</w:t>
      </w:r>
      <w:r w:rsidR="00F47F62">
        <w:t>he so-called dominance (percentage of total market capitalization) as of the 4</w:t>
      </w:r>
      <w:r w:rsidR="00F47F62" w:rsidRPr="00F47F62">
        <w:rPr>
          <w:vertAlign w:val="superscript"/>
        </w:rPr>
        <w:t>th</w:t>
      </w:r>
      <w:r w:rsidR="00F47F62">
        <w:t xml:space="preserve"> </w:t>
      </w:r>
      <w:r w:rsidR="00B4107E">
        <w:t>November</w:t>
      </w:r>
      <w:r w:rsidR="00F47F62">
        <w:t xml:space="preserve"> 2019</w:t>
      </w:r>
      <w:r w:rsidR="00947BBD">
        <w:t>, as well as</w:t>
      </w:r>
      <w:r w:rsidR="008650CF">
        <w:t xml:space="preserve"> the portfolio allocation. </w:t>
      </w:r>
      <w:r w:rsidR="00ED5DFD">
        <w:t>We determined the portfolio allocation for a given cryptocurrency as its capitalization fraction within the portfolio</w:t>
      </w:r>
      <w:r w:rsidR="00D92A65">
        <w:t xml:space="preserve"> </w:t>
      </w:r>
      <w:sdt>
        <w:sdtPr>
          <w:id w:val="1880045564"/>
          <w:citation/>
        </w:sdtPr>
        <w:sdtContent>
          <w:r w:rsidR="00935A97">
            <w:fldChar w:fldCharType="begin"/>
          </w:r>
          <w:r w:rsidR="00D92A65" w:rsidRPr="00D92A65">
            <w:rPr>
              <w:lang w:val="en-US"/>
            </w:rPr>
            <w:instrText xml:space="preserve"> CITATION Ber10 \l 1040 </w:instrText>
          </w:r>
          <w:r w:rsidR="00935A97">
            <w:fldChar w:fldCharType="separate"/>
          </w:r>
          <w:r w:rsidR="006E4597" w:rsidRPr="006E4597">
            <w:rPr>
              <w:noProof/>
              <w:lang w:val="en-US"/>
            </w:rPr>
            <w:t>[3]</w:t>
          </w:r>
          <w:r w:rsidR="00935A97">
            <w:fldChar w:fldCharType="end"/>
          </w:r>
        </w:sdtContent>
      </w:sdt>
      <w:r w:rsidR="00ED5DFD">
        <w:t xml:space="preserve">. As an example, </w:t>
      </w:r>
      <w:r w:rsidR="006F6AA6">
        <w:t xml:space="preserve">we obtain </w:t>
      </w:r>
      <w:r w:rsidR="00ED5DFD">
        <w:t xml:space="preserve">the portfolio allocation of BTC </w:t>
      </w:r>
      <w:r w:rsidR="006F6AA6">
        <w:t>as follows:</w:t>
      </w:r>
      <w:r w:rsidR="00ED5DFD">
        <w:t xml:space="preserve"> </w:t>
      </w:r>
      <w:r w:rsidR="00ED5DFD" w:rsidRPr="006F6AA6">
        <w:rPr>
          <w:szCs w:val="20"/>
        </w:rPr>
        <w:t>(1.7x10</w:t>
      </w:r>
      <w:r w:rsidR="00ED5DFD" w:rsidRPr="006F6AA6">
        <w:rPr>
          <w:szCs w:val="20"/>
          <w:vertAlign w:val="superscript"/>
        </w:rPr>
        <w:t>11</w:t>
      </w:r>
      <w:r w:rsidR="00ED5DFD" w:rsidRPr="006F6AA6">
        <w:rPr>
          <w:szCs w:val="20"/>
        </w:rPr>
        <w:t>/2.1x10</w:t>
      </w:r>
      <w:r w:rsidR="00ED5DFD" w:rsidRPr="006F6AA6">
        <w:rPr>
          <w:szCs w:val="20"/>
          <w:vertAlign w:val="superscript"/>
        </w:rPr>
        <w:t>11</w:t>
      </w:r>
      <w:r w:rsidR="00ED5DFD" w:rsidRPr="006F6AA6">
        <w:rPr>
          <w:szCs w:val="20"/>
        </w:rPr>
        <w:t>)x100=81.12%.</w:t>
      </w:r>
    </w:p>
    <w:p w:rsidR="00011EA3" w:rsidRPr="001B031B" w:rsidRDefault="00E90C2F" w:rsidP="00E90C2F">
      <w:pPr>
        <w:pStyle w:val="Lgende"/>
        <w:jc w:val="center"/>
      </w:pPr>
      <w:bookmarkStart w:id="5" w:name="_Ref26556598"/>
      <w:r>
        <w:t xml:space="preserve">Table </w:t>
      </w:r>
      <w:fldSimple w:instr=" SEQ Table \* ARABIC ">
        <w:r>
          <w:rPr>
            <w:noProof/>
          </w:rPr>
          <w:t>1</w:t>
        </w:r>
      </w:fldSimple>
      <w:bookmarkEnd w:id="5"/>
      <w:r w:rsidR="00011EA3">
        <w:t>. List of cryptocurrencies selected for the portfolio.</w:t>
      </w:r>
    </w:p>
    <w:tbl>
      <w:tblPr>
        <w:tblStyle w:val="Grilledutableau"/>
        <w:tblW w:w="0" w:type="auto"/>
        <w:jc w:val="center"/>
        <w:tblLook w:val="04A0"/>
      </w:tblPr>
      <w:tblGrid>
        <w:gridCol w:w="777"/>
        <w:gridCol w:w="1321"/>
        <w:gridCol w:w="1736"/>
        <w:gridCol w:w="1361"/>
        <w:gridCol w:w="2061"/>
      </w:tblGrid>
      <w:tr w:rsidR="008650CF" w:rsidRPr="00011EA3" w:rsidTr="00216A11">
        <w:trPr>
          <w:jc w:val="center"/>
        </w:trPr>
        <w:tc>
          <w:tcPr>
            <w:tcW w:w="0" w:type="auto"/>
          </w:tcPr>
          <w:p w:rsidR="008650CF" w:rsidRPr="00011EA3" w:rsidRDefault="008650CF" w:rsidP="004061F3">
            <w:pPr>
              <w:jc w:val="center"/>
              <w:rPr>
                <w:sz w:val="18"/>
                <w:szCs w:val="18"/>
              </w:rPr>
            </w:pPr>
            <w:r w:rsidRPr="00011EA3">
              <w:rPr>
                <w:sz w:val="18"/>
                <w:szCs w:val="18"/>
              </w:rPr>
              <w:t>Symbol</w:t>
            </w:r>
          </w:p>
        </w:tc>
        <w:tc>
          <w:tcPr>
            <w:tcW w:w="0" w:type="auto"/>
          </w:tcPr>
          <w:p w:rsidR="008650CF" w:rsidRPr="00011EA3" w:rsidRDefault="008650CF" w:rsidP="004061F3">
            <w:pPr>
              <w:jc w:val="center"/>
              <w:rPr>
                <w:sz w:val="18"/>
                <w:szCs w:val="18"/>
              </w:rPr>
            </w:pPr>
            <w:r w:rsidRPr="00011EA3">
              <w:rPr>
                <w:sz w:val="18"/>
                <w:szCs w:val="18"/>
              </w:rPr>
              <w:t>Currency name</w:t>
            </w:r>
          </w:p>
        </w:tc>
        <w:tc>
          <w:tcPr>
            <w:tcW w:w="0" w:type="auto"/>
          </w:tcPr>
          <w:p w:rsidR="008650CF" w:rsidRPr="00011EA3" w:rsidRDefault="008650CF" w:rsidP="004061F3">
            <w:pPr>
              <w:jc w:val="center"/>
              <w:rPr>
                <w:sz w:val="18"/>
                <w:szCs w:val="18"/>
              </w:rPr>
            </w:pPr>
            <w:r>
              <w:rPr>
                <w:sz w:val="18"/>
                <w:szCs w:val="18"/>
              </w:rPr>
              <w:t>Market cap. (USD $)</w:t>
            </w:r>
          </w:p>
        </w:tc>
        <w:tc>
          <w:tcPr>
            <w:tcW w:w="0" w:type="auto"/>
          </w:tcPr>
          <w:p w:rsidR="008650CF" w:rsidRPr="00011EA3" w:rsidRDefault="008650CF" w:rsidP="004061F3">
            <w:pPr>
              <w:jc w:val="center"/>
              <w:rPr>
                <w:sz w:val="18"/>
                <w:szCs w:val="18"/>
              </w:rPr>
            </w:pPr>
            <w:r>
              <w:rPr>
                <w:sz w:val="18"/>
                <w:szCs w:val="18"/>
              </w:rPr>
              <w:t>Dominance (%)</w:t>
            </w:r>
          </w:p>
        </w:tc>
        <w:tc>
          <w:tcPr>
            <w:tcW w:w="0" w:type="auto"/>
          </w:tcPr>
          <w:p w:rsidR="008650CF" w:rsidRDefault="008650CF" w:rsidP="004061F3">
            <w:pPr>
              <w:jc w:val="center"/>
              <w:rPr>
                <w:sz w:val="18"/>
                <w:szCs w:val="18"/>
              </w:rPr>
            </w:pPr>
            <w:r>
              <w:rPr>
                <w:sz w:val="18"/>
                <w:szCs w:val="18"/>
              </w:rPr>
              <w:t>Portfolio allocation</w:t>
            </w:r>
            <w:r w:rsidR="00216A11">
              <w:rPr>
                <w:sz w:val="18"/>
                <w:szCs w:val="18"/>
              </w:rPr>
              <w:t xml:space="preserve"> </w:t>
            </w:r>
            <w:r w:rsidR="00531E59">
              <w:rPr>
                <w:i/>
                <w:sz w:val="18"/>
                <w:szCs w:val="18"/>
              </w:rPr>
              <w:t xml:space="preserve">a </w:t>
            </w:r>
            <w:r w:rsidR="00216A11">
              <w:rPr>
                <w:sz w:val="18"/>
                <w:szCs w:val="18"/>
              </w:rPr>
              <w:t>(%)</w:t>
            </w:r>
          </w:p>
        </w:tc>
      </w:tr>
      <w:tr w:rsidR="008650CF" w:rsidRPr="00011EA3" w:rsidTr="00216A11">
        <w:trPr>
          <w:jc w:val="center"/>
        </w:trPr>
        <w:tc>
          <w:tcPr>
            <w:tcW w:w="0" w:type="auto"/>
          </w:tcPr>
          <w:p w:rsidR="008650CF" w:rsidRPr="00011EA3" w:rsidRDefault="008650CF" w:rsidP="00211C73">
            <w:pPr>
              <w:jc w:val="left"/>
              <w:rPr>
                <w:sz w:val="18"/>
                <w:szCs w:val="18"/>
              </w:rPr>
            </w:pPr>
            <w:r w:rsidRPr="00011EA3">
              <w:rPr>
                <w:sz w:val="18"/>
                <w:szCs w:val="18"/>
              </w:rPr>
              <w:t>BTC</w:t>
            </w:r>
          </w:p>
        </w:tc>
        <w:tc>
          <w:tcPr>
            <w:tcW w:w="0" w:type="auto"/>
          </w:tcPr>
          <w:p w:rsidR="008650CF" w:rsidRPr="00011EA3" w:rsidRDefault="008650CF" w:rsidP="00211C73">
            <w:pPr>
              <w:jc w:val="left"/>
              <w:rPr>
                <w:sz w:val="18"/>
                <w:szCs w:val="18"/>
              </w:rPr>
            </w:pPr>
            <w:r w:rsidRPr="00011EA3">
              <w:rPr>
                <w:sz w:val="18"/>
                <w:szCs w:val="18"/>
              </w:rPr>
              <w:t>Bitcoin</w:t>
            </w:r>
          </w:p>
        </w:tc>
        <w:tc>
          <w:tcPr>
            <w:tcW w:w="0" w:type="auto"/>
            <w:vAlign w:val="center"/>
          </w:tcPr>
          <w:p w:rsidR="008650CF" w:rsidRPr="0009374B" w:rsidRDefault="008650CF" w:rsidP="0009374B">
            <w:pPr>
              <w:jc w:val="center"/>
              <w:rPr>
                <w:sz w:val="18"/>
                <w:szCs w:val="18"/>
                <w:vertAlign w:val="superscript"/>
              </w:rPr>
            </w:pPr>
            <w:r>
              <w:rPr>
                <w:sz w:val="18"/>
                <w:szCs w:val="18"/>
              </w:rPr>
              <w:t>~</w:t>
            </w:r>
            <w:r w:rsidRPr="00F47F62">
              <w:rPr>
                <w:sz w:val="18"/>
                <w:szCs w:val="18"/>
              </w:rPr>
              <w:t>1</w:t>
            </w:r>
            <w:r>
              <w:rPr>
                <w:sz w:val="18"/>
                <w:szCs w:val="18"/>
              </w:rPr>
              <w:t>.7x10</w:t>
            </w:r>
            <w:r>
              <w:rPr>
                <w:sz w:val="18"/>
                <w:szCs w:val="18"/>
                <w:vertAlign w:val="superscript"/>
              </w:rPr>
              <w:t>11</w:t>
            </w:r>
          </w:p>
        </w:tc>
        <w:tc>
          <w:tcPr>
            <w:tcW w:w="0" w:type="auto"/>
            <w:vAlign w:val="center"/>
          </w:tcPr>
          <w:p w:rsidR="008650CF" w:rsidRPr="00011EA3" w:rsidRDefault="008650CF" w:rsidP="004061F3">
            <w:pPr>
              <w:jc w:val="center"/>
              <w:rPr>
                <w:sz w:val="18"/>
                <w:szCs w:val="18"/>
              </w:rPr>
            </w:pPr>
            <w:r>
              <w:rPr>
                <w:sz w:val="18"/>
                <w:szCs w:val="18"/>
              </w:rPr>
              <w:t>67.37</w:t>
            </w:r>
          </w:p>
        </w:tc>
        <w:tc>
          <w:tcPr>
            <w:tcW w:w="0" w:type="auto"/>
          </w:tcPr>
          <w:p w:rsidR="008650CF" w:rsidRDefault="008650CF" w:rsidP="004061F3">
            <w:pPr>
              <w:jc w:val="center"/>
              <w:rPr>
                <w:sz w:val="18"/>
                <w:szCs w:val="18"/>
              </w:rPr>
            </w:pPr>
            <w:r>
              <w:rPr>
                <w:sz w:val="18"/>
                <w:szCs w:val="18"/>
              </w:rPr>
              <w:t>81.12</w:t>
            </w:r>
          </w:p>
        </w:tc>
      </w:tr>
      <w:tr w:rsidR="008650CF" w:rsidRPr="00011EA3" w:rsidTr="00216A11">
        <w:trPr>
          <w:jc w:val="center"/>
        </w:trPr>
        <w:tc>
          <w:tcPr>
            <w:tcW w:w="0" w:type="auto"/>
          </w:tcPr>
          <w:p w:rsidR="008650CF" w:rsidRPr="00011EA3" w:rsidRDefault="008650CF" w:rsidP="00211C73">
            <w:pPr>
              <w:jc w:val="left"/>
              <w:rPr>
                <w:sz w:val="18"/>
                <w:szCs w:val="18"/>
              </w:rPr>
            </w:pPr>
            <w:r w:rsidRPr="00011EA3">
              <w:rPr>
                <w:sz w:val="18"/>
                <w:szCs w:val="18"/>
              </w:rPr>
              <w:t>ETH</w:t>
            </w:r>
          </w:p>
        </w:tc>
        <w:tc>
          <w:tcPr>
            <w:tcW w:w="0" w:type="auto"/>
          </w:tcPr>
          <w:p w:rsidR="008650CF" w:rsidRPr="00011EA3" w:rsidRDefault="008650CF" w:rsidP="00211C73">
            <w:pPr>
              <w:jc w:val="left"/>
              <w:rPr>
                <w:sz w:val="18"/>
                <w:szCs w:val="18"/>
              </w:rPr>
            </w:pPr>
            <w:r w:rsidRPr="00011EA3">
              <w:rPr>
                <w:sz w:val="18"/>
                <w:szCs w:val="18"/>
              </w:rPr>
              <w:t>Ethereum</w:t>
            </w:r>
          </w:p>
        </w:tc>
        <w:tc>
          <w:tcPr>
            <w:tcW w:w="0" w:type="auto"/>
          </w:tcPr>
          <w:p w:rsidR="008650CF" w:rsidRPr="0009374B" w:rsidRDefault="008650CF" w:rsidP="0009374B">
            <w:pPr>
              <w:jc w:val="center"/>
              <w:rPr>
                <w:sz w:val="18"/>
                <w:szCs w:val="18"/>
                <w:vertAlign w:val="superscript"/>
              </w:rPr>
            </w:pPr>
            <w:r>
              <w:rPr>
                <w:sz w:val="18"/>
                <w:szCs w:val="18"/>
              </w:rPr>
              <w:t>~</w:t>
            </w:r>
            <w:r w:rsidRPr="00F47F62">
              <w:rPr>
                <w:sz w:val="18"/>
                <w:szCs w:val="18"/>
              </w:rPr>
              <w:t>2</w:t>
            </w:r>
            <w:r>
              <w:rPr>
                <w:sz w:val="18"/>
                <w:szCs w:val="18"/>
              </w:rPr>
              <w:t>.1x10</w:t>
            </w:r>
            <w:r>
              <w:rPr>
                <w:sz w:val="18"/>
                <w:szCs w:val="18"/>
                <w:vertAlign w:val="superscript"/>
              </w:rPr>
              <w:t>10</w:t>
            </w:r>
          </w:p>
        </w:tc>
        <w:tc>
          <w:tcPr>
            <w:tcW w:w="0" w:type="auto"/>
          </w:tcPr>
          <w:p w:rsidR="008650CF" w:rsidRPr="00011EA3" w:rsidRDefault="008650CF" w:rsidP="004061F3">
            <w:pPr>
              <w:jc w:val="center"/>
              <w:rPr>
                <w:sz w:val="18"/>
                <w:szCs w:val="18"/>
              </w:rPr>
            </w:pPr>
            <w:r>
              <w:rPr>
                <w:sz w:val="18"/>
                <w:szCs w:val="18"/>
              </w:rPr>
              <w:t>8.00</w:t>
            </w:r>
          </w:p>
        </w:tc>
        <w:tc>
          <w:tcPr>
            <w:tcW w:w="0" w:type="auto"/>
          </w:tcPr>
          <w:p w:rsidR="008650CF" w:rsidRDefault="008650CF" w:rsidP="004061F3">
            <w:pPr>
              <w:jc w:val="center"/>
              <w:rPr>
                <w:sz w:val="18"/>
                <w:szCs w:val="18"/>
              </w:rPr>
            </w:pPr>
            <w:r>
              <w:rPr>
                <w:sz w:val="18"/>
                <w:szCs w:val="18"/>
              </w:rPr>
              <w:t>9.90</w:t>
            </w:r>
          </w:p>
        </w:tc>
      </w:tr>
      <w:tr w:rsidR="008650CF" w:rsidRPr="00011EA3" w:rsidTr="00216A11">
        <w:trPr>
          <w:jc w:val="center"/>
        </w:trPr>
        <w:tc>
          <w:tcPr>
            <w:tcW w:w="0" w:type="auto"/>
          </w:tcPr>
          <w:p w:rsidR="008650CF" w:rsidRPr="00011EA3" w:rsidRDefault="008650CF" w:rsidP="00211C73">
            <w:pPr>
              <w:jc w:val="left"/>
              <w:rPr>
                <w:sz w:val="18"/>
                <w:szCs w:val="18"/>
              </w:rPr>
            </w:pPr>
            <w:r w:rsidRPr="00011EA3">
              <w:rPr>
                <w:sz w:val="18"/>
                <w:szCs w:val="18"/>
              </w:rPr>
              <w:t>XRP</w:t>
            </w:r>
          </w:p>
        </w:tc>
        <w:tc>
          <w:tcPr>
            <w:tcW w:w="0" w:type="auto"/>
          </w:tcPr>
          <w:p w:rsidR="008650CF" w:rsidRPr="00011EA3" w:rsidRDefault="008650CF" w:rsidP="00211C73">
            <w:pPr>
              <w:jc w:val="left"/>
              <w:rPr>
                <w:sz w:val="18"/>
                <w:szCs w:val="18"/>
              </w:rPr>
            </w:pPr>
            <w:r w:rsidRPr="00011EA3">
              <w:rPr>
                <w:sz w:val="18"/>
                <w:szCs w:val="18"/>
              </w:rPr>
              <w:t>Ripple</w:t>
            </w:r>
          </w:p>
        </w:tc>
        <w:tc>
          <w:tcPr>
            <w:tcW w:w="0" w:type="auto"/>
          </w:tcPr>
          <w:p w:rsidR="008650CF" w:rsidRPr="0009374B" w:rsidRDefault="008650CF" w:rsidP="0009374B">
            <w:pPr>
              <w:jc w:val="center"/>
              <w:rPr>
                <w:sz w:val="18"/>
                <w:szCs w:val="18"/>
                <w:vertAlign w:val="superscript"/>
              </w:rPr>
            </w:pPr>
            <w:r>
              <w:rPr>
                <w:sz w:val="18"/>
                <w:szCs w:val="18"/>
              </w:rPr>
              <w:t>~</w:t>
            </w:r>
            <w:r w:rsidRPr="00F47F62">
              <w:rPr>
                <w:sz w:val="18"/>
                <w:szCs w:val="18"/>
              </w:rPr>
              <w:t>1</w:t>
            </w:r>
            <w:r>
              <w:rPr>
                <w:sz w:val="18"/>
                <w:szCs w:val="18"/>
              </w:rPr>
              <w:t>.</w:t>
            </w:r>
            <w:r w:rsidRPr="00F47F62">
              <w:rPr>
                <w:sz w:val="18"/>
                <w:szCs w:val="18"/>
              </w:rPr>
              <w:t>3</w:t>
            </w:r>
            <w:r>
              <w:rPr>
                <w:sz w:val="18"/>
                <w:szCs w:val="18"/>
              </w:rPr>
              <w:t>x10</w:t>
            </w:r>
            <w:r>
              <w:rPr>
                <w:sz w:val="18"/>
                <w:szCs w:val="18"/>
                <w:vertAlign w:val="superscript"/>
              </w:rPr>
              <w:t>10</w:t>
            </w:r>
          </w:p>
        </w:tc>
        <w:tc>
          <w:tcPr>
            <w:tcW w:w="0" w:type="auto"/>
          </w:tcPr>
          <w:p w:rsidR="008650CF" w:rsidRPr="00011EA3" w:rsidRDefault="008650CF" w:rsidP="004061F3">
            <w:pPr>
              <w:jc w:val="center"/>
              <w:rPr>
                <w:sz w:val="18"/>
                <w:szCs w:val="18"/>
              </w:rPr>
            </w:pPr>
            <w:r>
              <w:rPr>
                <w:sz w:val="18"/>
                <w:szCs w:val="18"/>
              </w:rPr>
              <w:t>5.1</w:t>
            </w:r>
          </w:p>
        </w:tc>
        <w:tc>
          <w:tcPr>
            <w:tcW w:w="0" w:type="auto"/>
          </w:tcPr>
          <w:p w:rsidR="008650CF" w:rsidRDefault="008650CF" w:rsidP="004061F3">
            <w:pPr>
              <w:jc w:val="center"/>
              <w:rPr>
                <w:sz w:val="18"/>
                <w:szCs w:val="18"/>
              </w:rPr>
            </w:pPr>
            <w:r>
              <w:rPr>
                <w:sz w:val="18"/>
                <w:szCs w:val="18"/>
              </w:rPr>
              <w:t>6.25</w:t>
            </w:r>
          </w:p>
        </w:tc>
      </w:tr>
      <w:tr w:rsidR="008650CF" w:rsidRPr="00011EA3" w:rsidTr="00216A11">
        <w:trPr>
          <w:jc w:val="center"/>
        </w:trPr>
        <w:tc>
          <w:tcPr>
            <w:tcW w:w="0" w:type="auto"/>
          </w:tcPr>
          <w:p w:rsidR="008650CF" w:rsidRPr="00011EA3" w:rsidRDefault="008650CF" w:rsidP="00211C73">
            <w:pPr>
              <w:jc w:val="left"/>
              <w:rPr>
                <w:sz w:val="18"/>
                <w:szCs w:val="18"/>
              </w:rPr>
            </w:pPr>
            <w:r w:rsidRPr="00011EA3">
              <w:rPr>
                <w:sz w:val="18"/>
                <w:szCs w:val="18"/>
              </w:rPr>
              <w:t>LTC</w:t>
            </w:r>
          </w:p>
        </w:tc>
        <w:tc>
          <w:tcPr>
            <w:tcW w:w="0" w:type="auto"/>
          </w:tcPr>
          <w:p w:rsidR="008650CF" w:rsidRPr="00011EA3" w:rsidRDefault="008650CF" w:rsidP="00211C73">
            <w:pPr>
              <w:jc w:val="left"/>
              <w:rPr>
                <w:sz w:val="18"/>
                <w:szCs w:val="18"/>
              </w:rPr>
            </w:pPr>
            <w:r w:rsidRPr="00011EA3">
              <w:rPr>
                <w:sz w:val="18"/>
                <w:szCs w:val="18"/>
              </w:rPr>
              <w:t>Litecoin</w:t>
            </w:r>
          </w:p>
        </w:tc>
        <w:tc>
          <w:tcPr>
            <w:tcW w:w="0" w:type="auto"/>
          </w:tcPr>
          <w:p w:rsidR="008650CF" w:rsidRPr="0009374B" w:rsidRDefault="008650CF" w:rsidP="004061F3">
            <w:pPr>
              <w:jc w:val="center"/>
              <w:rPr>
                <w:sz w:val="18"/>
                <w:szCs w:val="18"/>
                <w:vertAlign w:val="superscript"/>
              </w:rPr>
            </w:pPr>
            <w:r>
              <w:rPr>
                <w:sz w:val="18"/>
                <w:szCs w:val="18"/>
              </w:rPr>
              <w:t>~4.0x10</w:t>
            </w:r>
            <w:r>
              <w:rPr>
                <w:sz w:val="18"/>
                <w:szCs w:val="18"/>
                <w:vertAlign w:val="superscript"/>
              </w:rPr>
              <w:t>9</w:t>
            </w:r>
          </w:p>
        </w:tc>
        <w:tc>
          <w:tcPr>
            <w:tcW w:w="0" w:type="auto"/>
          </w:tcPr>
          <w:p w:rsidR="008650CF" w:rsidRPr="00011EA3" w:rsidRDefault="008650CF" w:rsidP="004061F3">
            <w:pPr>
              <w:jc w:val="center"/>
              <w:rPr>
                <w:sz w:val="18"/>
                <w:szCs w:val="18"/>
              </w:rPr>
            </w:pPr>
            <w:r>
              <w:rPr>
                <w:sz w:val="18"/>
                <w:szCs w:val="18"/>
              </w:rPr>
              <w:t>1.51</w:t>
            </w:r>
          </w:p>
        </w:tc>
        <w:tc>
          <w:tcPr>
            <w:tcW w:w="0" w:type="auto"/>
          </w:tcPr>
          <w:p w:rsidR="008650CF" w:rsidRDefault="008650CF" w:rsidP="004061F3">
            <w:pPr>
              <w:jc w:val="center"/>
              <w:rPr>
                <w:sz w:val="18"/>
                <w:szCs w:val="18"/>
              </w:rPr>
            </w:pPr>
            <w:r>
              <w:rPr>
                <w:sz w:val="18"/>
                <w:szCs w:val="18"/>
              </w:rPr>
              <w:t>1.94</w:t>
            </w:r>
          </w:p>
        </w:tc>
      </w:tr>
      <w:tr w:rsidR="008650CF" w:rsidRPr="00011EA3" w:rsidTr="00216A11">
        <w:trPr>
          <w:jc w:val="center"/>
        </w:trPr>
        <w:tc>
          <w:tcPr>
            <w:tcW w:w="0" w:type="auto"/>
          </w:tcPr>
          <w:p w:rsidR="008650CF" w:rsidRPr="00011EA3" w:rsidRDefault="008650CF" w:rsidP="00211C73">
            <w:pPr>
              <w:jc w:val="left"/>
              <w:rPr>
                <w:sz w:val="18"/>
                <w:szCs w:val="18"/>
              </w:rPr>
            </w:pPr>
            <w:r w:rsidRPr="00011EA3">
              <w:rPr>
                <w:sz w:val="18"/>
                <w:szCs w:val="18"/>
              </w:rPr>
              <w:t>XLM</w:t>
            </w:r>
          </w:p>
        </w:tc>
        <w:tc>
          <w:tcPr>
            <w:tcW w:w="0" w:type="auto"/>
          </w:tcPr>
          <w:p w:rsidR="008650CF" w:rsidRPr="00011EA3" w:rsidRDefault="008650CF" w:rsidP="00211C73">
            <w:pPr>
              <w:jc w:val="left"/>
              <w:rPr>
                <w:sz w:val="18"/>
                <w:szCs w:val="18"/>
              </w:rPr>
            </w:pPr>
            <w:r w:rsidRPr="00011EA3">
              <w:rPr>
                <w:sz w:val="18"/>
                <w:szCs w:val="18"/>
              </w:rPr>
              <w:t>Stellar</w:t>
            </w:r>
          </w:p>
        </w:tc>
        <w:tc>
          <w:tcPr>
            <w:tcW w:w="0" w:type="auto"/>
          </w:tcPr>
          <w:p w:rsidR="008650CF" w:rsidRPr="00011EA3" w:rsidRDefault="008650CF" w:rsidP="0009374B">
            <w:pPr>
              <w:jc w:val="center"/>
              <w:rPr>
                <w:sz w:val="18"/>
                <w:szCs w:val="18"/>
              </w:rPr>
            </w:pPr>
            <w:r>
              <w:rPr>
                <w:sz w:val="18"/>
                <w:szCs w:val="18"/>
              </w:rPr>
              <w:t>~</w:t>
            </w:r>
            <w:r w:rsidRPr="00F47F62">
              <w:rPr>
                <w:sz w:val="18"/>
                <w:szCs w:val="18"/>
              </w:rPr>
              <w:t>1</w:t>
            </w:r>
            <w:r>
              <w:rPr>
                <w:sz w:val="18"/>
                <w:szCs w:val="18"/>
              </w:rPr>
              <w:t>.</w:t>
            </w:r>
            <w:r w:rsidRPr="00F47F62">
              <w:rPr>
                <w:sz w:val="18"/>
                <w:szCs w:val="18"/>
              </w:rPr>
              <w:t>6</w:t>
            </w:r>
            <w:r>
              <w:rPr>
                <w:sz w:val="18"/>
                <w:szCs w:val="18"/>
              </w:rPr>
              <w:t xml:space="preserve"> x10</w:t>
            </w:r>
            <w:r>
              <w:rPr>
                <w:sz w:val="18"/>
                <w:szCs w:val="18"/>
                <w:vertAlign w:val="superscript"/>
              </w:rPr>
              <w:t>9</w:t>
            </w:r>
          </w:p>
        </w:tc>
        <w:tc>
          <w:tcPr>
            <w:tcW w:w="0" w:type="auto"/>
          </w:tcPr>
          <w:p w:rsidR="008650CF" w:rsidRPr="00011EA3" w:rsidRDefault="008650CF" w:rsidP="004061F3">
            <w:pPr>
              <w:jc w:val="center"/>
              <w:rPr>
                <w:sz w:val="18"/>
                <w:szCs w:val="18"/>
              </w:rPr>
            </w:pPr>
            <w:r>
              <w:rPr>
                <w:sz w:val="18"/>
                <w:szCs w:val="18"/>
              </w:rPr>
              <w:t>0.56</w:t>
            </w:r>
          </w:p>
        </w:tc>
        <w:tc>
          <w:tcPr>
            <w:tcW w:w="0" w:type="auto"/>
          </w:tcPr>
          <w:p w:rsidR="008650CF" w:rsidRDefault="008650CF" w:rsidP="004061F3">
            <w:pPr>
              <w:jc w:val="center"/>
              <w:rPr>
                <w:sz w:val="18"/>
                <w:szCs w:val="18"/>
              </w:rPr>
            </w:pPr>
            <w:r>
              <w:rPr>
                <w:sz w:val="18"/>
                <w:szCs w:val="18"/>
              </w:rPr>
              <w:t>0.79</w:t>
            </w:r>
          </w:p>
        </w:tc>
      </w:tr>
      <w:tr w:rsidR="008650CF" w:rsidRPr="00011EA3" w:rsidTr="00216A11">
        <w:trPr>
          <w:jc w:val="center"/>
        </w:trPr>
        <w:tc>
          <w:tcPr>
            <w:tcW w:w="0" w:type="auto"/>
          </w:tcPr>
          <w:p w:rsidR="008650CF" w:rsidRPr="00011EA3" w:rsidRDefault="008650CF" w:rsidP="00211C73">
            <w:pPr>
              <w:jc w:val="left"/>
              <w:rPr>
                <w:sz w:val="18"/>
                <w:szCs w:val="18"/>
              </w:rPr>
            </w:pPr>
            <w:r>
              <w:rPr>
                <w:sz w:val="18"/>
                <w:szCs w:val="18"/>
              </w:rPr>
              <w:t>Total</w:t>
            </w:r>
          </w:p>
        </w:tc>
        <w:tc>
          <w:tcPr>
            <w:tcW w:w="0" w:type="auto"/>
          </w:tcPr>
          <w:p w:rsidR="008650CF" w:rsidRPr="00011EA3" w:rsidRDefault="008650CF" w:rsidP="00211C73">
            <w:pPr>
              <w:jc w:val="left"/>
              <w:rPr>
                <w:sz w:val="18"/>
                <w:szCs w:val="18"/>
              </w:rPr>
            </w:pPr>
          </w:p>
        </w:tc>
        <w:tc>
          <w:tcPr>
            <w:tcW w:w="0" w:type="auto"/>
          </w:tcPr>
          <w:p w:rsidR="008650CF" w:rsidRPr="0009374B" w:rsidRDefault="008650CF" w:rsidP="0009374B">
            <w:pPr>
              <w:jc w:val="center"/>
              <w:rPr>
                <w:sz w:val="18"/>
                <w:szCs w:val="18"/>
                <w:vertAlign w:val="superscript"/>
              </w:rPr>
            </w:pPr>
            <w:r>
              <w:rPr>
                <w:sz w:val="18"/>
                <w:szCs w:val="18"/>
              </w:rPr>
              <w:t>~2.1x10</w:t>
            </w:r>
            <w:r>
              <w:rPr>
                <w:sz w:val="18"/>
                <w:szCs w:val="18"/>
                <w:vertAlign w:val="superscript"/>
              </w:rPr>
              <w:t>11</w:t>
            </w:r>
          </w:p>
        </w:tc>
        <w:tc>
          <w:tcPr>
            <w:tcW w:w="0" w:type="auto"/>
          </w:tcPr>
          <w:p w:rsidR="008650CF" w:rsidRDefault="008650CF" w:rsidP="004061F3">
            <w:pPr>
              <w:jc w:val="center"/>
              <w:rPr>
                <w:sz w:val="18"/>
                <w:szCs w:val="18"/>
              </w:rPr>
            </w:pPr>
            <w:r>
              <w:rPr>
                <w:sz w:val="18"/>
                <w:szCs w:val="18"/>
              </w:rPr>
              <w:t>82.54</w:t>
            </w:r>
          </w:p>
        </w:tc>
        <w:tc>
          <w:tcPr>
            <w:tcW w:w="0" w:type="auto"/>
          </w:tcPr>
          <w:p w:rsidR="008650CF" w:rsidRDefault="00216A11" w:rsidP="004061F3">
            <w:pPr>
              <w:jc w:val="center"/>
              <w:rPr>
                <w:sz w:val="18"/>
                <w:szCs w:val="18"/>
              </w:rPr>
            </w:pPr>
            <w:r>
              <w:rPr>
                <w:sz w:val="18"/>
                <w:szCs w:val="18"/>
              </w:rPr>
              <w:t>100</w:t>
            </w:r>
          </w:p>
        </w:tc>
      </w:tr>
    </w:tbl>
    <w:p w:rsidR="001B031B" w:rsidRDefault="001B031B" w:rsidP="001B031B">
      <w:pPr>
        <w:rPr>
          <w:noProof/>
          <w:lang w:eastAsia="en-GB"/>
        </w:rPr>
      </w:pPr>
    </w:p>
    <w:p w:rsidR="009D2F4D" w:rsidRDefault="00935A97" w:rsidP="001B031B">
      <w:pPr>
        <w:rPr>
          <w:rFonts w:eastAsiaTheme="minorEastAsia"/>
          <w:noProof/>
          <w:lang w:eastAsia="en-GB"/>
        </w:rPr>
      </w:pPr>
      <w:r>
        <w:fldChar w:fldCharType="begin"/>
      </w:r>
      <w:r w:rsidR="00491337">
        <w:rPr>
          <w:noProof/>
          <w:lang w:eastAsia="en-GB"/>
        </w:rPr>
        <w:instrText xml:space="preserve"> REF _Ref26559718 \h </w:instrText>
      </w:r>
      <w:r>
        <w:fldChar w:fldCharType="separate"/>
      </w:r>
      <w:r w:rsidR="00491337">
        <w:t xml:space="preserve">Table </w:t>
      </w:r>
      <w:r w:rsidR="00491337">
        <w:rPr>
          <w:noProof/>
        </w:rPr>
        <w:t>2</w:t>
      </w:r>
      <w:r>
        <w:fldChar w:fldCharType="end"/>
      </w:r>
      <w:r w:rsidR="009D2F4D">
        <w:rPr>
          <w:noProof/>
          <w:lang w:eastAsia="en-GB"/>
        </w:rPr>
        <w:t xml:space="preserve"> shows summary statistics of the daily cryptocurrency returns </w:t>
      </w:r>
      <m:oMath>
        <m:sSub>
          <m:sSubPr>
            <m:ctrlPr>
              <w:rPr>
                <w:rFonts w:ascii="Cambria Math" w:hAnsi="Cambria Math"/>
                <w:i/>
                <w:noProof/>
                <w:lang w:eastAsia="en-GB"/>
              </w:rPr>
            </m:ctrlPr>
          </m:sSubPr>
          <m:e>
            <m:r>
              <w:rPr>
                <w:rFonts w:ascii="Cambria Math" w:hAnsi="Cambria Math"/>
                <w:noProof/>
                <w:lang w:eastAsia="en-GB"/>
              </w:rPr>
              <m:t>R</m:t>
            </m:r>
          </m:e>
          <m:sub>
            <m:r>
              <w:rPr>
                <w:rFonts w:ascii="Cambria Math" w:hAnsi="Cambria Math"/>
                <w:noProof/>
                <w:lang w:eastAsia="en-GB"/>
              </w:rPr>
              <m:t>t</m:t>
            </m:r>
          </m:sub>
        </m:sSub>
        <m:r>
          <w:rPr>
            <w:rFonts w:ascii="Cambria Math" w:hAnsi="Cambria Math"/>
            <w:noProof/>
            <w:lang w:eastAsia="en-GB"/>
          </w:rPr>
          <m:t>=</m:t>
        </m:r>
        <m:d>
          <m:dPr>
            <m:ctrlPr>
              <w:rPr>
                <w:rFonts w:ascii="Cambria Math" w:hAnsi="Cambria Math"/>
                <w:i/>
                <w:noProof/>
                <w:lang w:eastAsia="en-GB"/>
              </w:rPr>
            </m:ctrlPr>
          </m:dPr>
          <m:e>
            <m:sSub>
              <m:sSubPr>
                <m:ctrlPr>
                  <w:rPr>
                    <w:rFonts w:ascii="Cambria Math" w:hAnsi="Cambria Math"/>
                    <w:i/>
                    <w:noProof/>
                    <w:lang w:eastAsia="en-GB"/>
                  </w:rPr>
                </m:ctrlPr>
              </m:sSubPr>
              <m:e>
                <m:r>
                  <w:rPr>
                    <w:rFonts w:ascii="Cambria Math" w:hAnsi="Cambria Math"/>
                    <w:noProof/>
                    <w:lang w:eastAsia="en-GB"/>
                  </w:rPr>
                  <m:t>P</m:t>
                </m:r>
              </m:e>
              <m:sub>
                <m:r>
                  <w:rPr>
                    <w:rFonts w:ascii="Cambria Math" w:hAnsi="Cambria Math"/>
                    <w:noProof/>
                    <w:lang w:eastAsia="en-GB"/>
                  </w:rPr>
                  <m:t>t</m:t>
                </m:r>
              </m:sub>
            </m:sSub>
            <m:r>
              <w:rPr>
                <w:rFonts w:ascii="Cambria Math" w:hAnsi="Cambria Math"/>
                <w:noProof/>
                <w:lang w:eastAsia="en-GB"/>
              </w:rPr>
              <m:t>-</m:t>
            </m:r>
            <m:sSub>
              <m:sSubPr>
                <m:ctrlPr>
                  <w:rPr>
                    <w:rFonts w:ascii="Cambria Math" w:hAnsi="Cambria Math"/>
                    <w:i/>
                    <w:noProof/>
                    <w:lang w:eastAsia="en-GB"/>
                  </w:rPr>
                </m:ctrlPr>
              </m:sSubPr>
              <m:e>
                <m:r>
                  <w:rPr>
                    <w:rFonts w:ascii="Cambria Math" w:hAnsi="Cambria Math"/>
                    <w:noProof/>
                    <w:lang w:eastAsia="en-GB"/>
                  </w:rPr>
                  <m:t>P</m:t>
                </m:r>
              </m:e>
              <m:sub>
                <m:r>
                  <w:rPr>
                    <w:rFonts w:ascii="Cambria Math" w:hAnsi="Cambria Math"/>
                    <w:noProof/>
                    <w:lang w:eastAsia="en-GB"/>
                  </w:rPr>
                  <m:t>t-1</m:t>
                </m:r>
              </m:sub>
            </m:sSub>
          </m:e>
        </m:d>
        <m:r>
          <w:rPr>
            <w:rFonts w:ascii="Cambria Math" w:hAnsi="Cambria Math"/>
            <w:noProof/>
            <w:lang w:eastAsia="en-GB"/>
          </w:rPr>
          <m:t>/</m:t>
        </m:r>
        <m:sSub>
          <m:sSubPr>
            <m:ctrlPr>
              <w:rPr>
                <w:rFonts w:ascii="Cambria Math" w:hAnsi="Cambria Math"/>
                <w:i/>
                <w:noProof/>
                <w:lang w:eastAsia="en-GB"/>
              </w:rPr>
            </m:ctrlPr>
          </m:sSubPr>
          <m:e>
            <m:r>
              <w:rPr>
                <w:rFonts w:ascii="Cambria Math" w:hAnsi="Cambria Math"/>
                <w:noProof/>
                <w:lang w:eastAsia="en-GB"/>
              </w:rPr>
              <m:t>P</m:t>
            </m:r>
          </m:e>
          <m:sub>
            <m:r>
              <w:rPr>
                <w:rFonts w:ascii="Cambria Math" w:hAnsi="Cambria Math"/>
                <w:noProof/>
                <w:lang w:eastAsia="en-GB"/>
              </w:rPr>
              <m:t>t-1</m:t>
            </m:r>
          </m:sub>
        </m:sSub>
      </m:oMath>
      <w:r w:rsidR="009D2F4D">
        <w:rPr>
          <w:rFonts w:eastAsiaTheme="minorEastAsia"/>
          <w:noProof/>
          <w:lang w:eastAsia="en-GB"/>
        </w:rPr>
        <w:t xml:space="preserve">, where </w:t>
      </w:r>
      <m:oMath>
        <m:sSub>
          <m:sSubPr>
            <m:ctrlPr>
              <w:rPr>
                <w:rFonts w:ascii="Cambria Math" w:hAnsi="Cambria Math"/>
                <w:i/>
                <w:noProof/>
                <w:lang w:eastAsia="en-GB"/>
              </w:rPr>
            </m:ctrlPr>
          </m:sSubPr>
          <m:e>
            <m:r>
              <w:rPr>
                <w:rFonts w:ascii="Cambria Math" w:hAnsi="Cambria Math"/>
                <w:noProof/>
                <w:lang w:eastAsia="en-GB"/>
              </w:rPr>
              <m:t>P</m:t>
            </m:r>
          </m:e>
          <m:sub>
            <m:r>
              <w:rPr>
                <w:rFonts w:ascii="Cambria Math" w:hAnsi="Cambria Math"/>
                <w:noProof/>
                <w:lang w:eastAsia="en-GB"/>
              </w:rPr>
              <m:t>t</m:t>
            </m:r>
          </m:sub>
        </m:sSub>
      </m:oMath>
      <w:r w:rsidR="009D2F4D">
        <w:rPr>
          <w:rFonts w:eastAsiaTheme="minorEastAsia"/>
          <w:noProof/>
          <w:lang w:eastAsia="en-GB"/>
        </w:rPr>
        <w:t xml:space="preserve"> is the price at time </w:t>
      </w:r>
      <w:r w:rsidR="009D2F4D" w:rsidRPr="009D2F4D">
        <w:rPr>
          <w:rFonts w:eastAsiaTheme="minorEastAsia"/>
          <w:i/>
          <w:noProof/>
          <w:lang w:eastAsia="en-GB"/>
        </w:rPr>
        <w:t>t</w:t>
      </w:r>
      <w:r w:rsidR="009D2F4D">
        <w:rPr>
          <w:rFonts w:eastAsiaTheme="minorEastAsia"/>
          <w:noProof/>
          <w:lang w:eastAsia="en-GB"/>
        </w:rPr>
        <w:t>.</w:t>
      </w:r>
    </w:p>
    <w:p w:rsidR="00335A2E" w:rsidRPr="009D2F4D" w:rsidRDefault="00E90C2F" w:rsidP="00E90C2F">
      <w:pPr>
        <w:pStyle w:val="Lgende"/>
        <w:jc w:val="center"/>
        <w:rPr>
          <w:noProof/>
          <w:vertAlign w:val="subscript"/>
          <w:lang w:eastAsia="en-GB"/>
        </w:rPr>
      </w:pPr>
      <w:bookmarkStart w:id="6" w:name="_Ref26559718"/>
      <w:r>
        <w:t xml:space="preserve">Table </w:t>
      </w:r>
      <w:fldSimple w:instr=" SEQ Table \* ARABIC ">
        <w:r>
          <w:rPr>
            <w:noProof/>
          </w:rPr>
          <w:t>2</w:t>
        </w:r>
      </w:fldSimple>
      <w:bookmarkEnd w:id="6"/>
      <w:r w:rsidR="00335A2E">
        <w:t>. Summary statistics of the daily returns of the selected cryptocurrencies.</w:t>
      </w:r>
    </w:p>
    <w:tbl>
      <w:tblPr>
        <w:tblStyle w:val="Grilledutableau"/>
        <w:tblW w:w="0" w:type="auto"/>
        <w:jc w:val="center"/>
        <w:tblLook w:val="04A0"/>
      </w:tblPr>
      <w:tblGrid>
        <w:gridCol w:w="1611"/>
        <w:gridCol w:w="771"/>
        <w:gridCol w:w="801"/>
        <w:gridCol w:w="891"/>
        <w:gridCol w:w="801"/>
        <w:gridCol w:w="801"/>
      </w:tblGrid>
      <w:tr w:rsidR="00335A2E" w:rsidRPr="00335A2E" w:rsidTr="00211C73">
        <w:trPr>
          <w:jc w:val="center"/>
        </w:trPr>
        <w:tc>
          <w:tcPr>
            <w:tcW w:w="0" w:type="auto"/>
          </w:tcPr>
          <w:p w:rsidR="00335A2E" w:rsidRPr="00335A2E" w:rsidRDefault="00335A2E" w:rsidP="00211C73">
            <w:pPr>
              <w:jc w:val="center"/>
              <w:rPr>
                <w:noProof/>
                <w:sz w:val="18"/>
                <w:szCs w:val="18"/>
                <w:lang w:eastAsia="en-GB"/>
              </w:rPr>
            </w:pPr>
          </w:p>
        </w:tc>
        <w:tc>
          <w:tcPr>
            <w:tcW w:w="0" w:type="auto"/>
          </w:tcPr>
          <w:p w:rsidR="00335A2E" w:rsidRPr="00335A2E" w:rsidRDefault="00335A2E" w:rsidP="00211C73">
            <w:pPr>
              <w:jc w:val="center"/>
              <w:rPr>
                <w:noProof/>
                <w:sz w:val="18"/>
                <w:szCs w:val="18"/>
                <w:lang w:eastAsia="en-GB"/>
              </w:rPr>
            </w:pPr>
            <w:r w:rsidRPr="00335A2E">
              <w:rPr>
                <w:noProof/>
                <w:sz w:val="18"/>
                <w:szCs w:val="18"/>
                <w:lang w:eastAsia="en-GB"/>
              </w:rPr>
              <w:t>BTC</w:t>
            </w:r>
          </w:p>
        </w:tc>
        <w:tc>
          <w:tcPr>
            <w:tcW w:w="0" w:type="auto"/>
          </w:tcPr>
          <w:p w:rsidR="00335A2E" w:rsidRPr="00335A2E" w:rsidRDefault="00335A2E" w:rsidP="00211C73">
            <w:pPr>
              <w:jc w:val="center"/>
              <w:rPr>
                <w:noProof/>
                <w:sz w:val="18"/>
                <w:szCs w:val="18"/>
                <w:lang w:eastAsia="en-GB"/>
              </w:rPr>
            </w:pPr>
            <w:r w:rsidRPr="00335A2E">
              <w:rPr>
                <w:noProof/>
                <w:sz w:val="18"/>
                <w:szCs w:val="18"/>
                <w:lang w:eastAsia="en-GB"/>
              </w:rPr>
              <w:t>ETH</w:t>
            </w:r>
          </w:p>
        </w:tc>
        <w:tc>
          <w:tcPr>
            <w:tcW w:w="0" w:type="auto"/>
          </w:tcPr>
          <w:p w:rsidR="00335A2E" w:rsidRPr="00335A2E" w:rsidRDefault="00335A2E" w:rsidP="00211C73">
            <w:pPr>
              <w:jc w:val="center"/>
              <w:rPr>
                <w:noProof/>
                <w:sz w:val="18"/>
                <w:szCs w:val="18"/>
                <w:lang w:eastAsia="en-GB"/>
              </w:rPr>
            </w:pPr>
            <w:r w:rsidRPr="00335A2E">
              <w:rPr>
                <w:noProof/>
                <w:sz w:val="18"/>
                <w:szCs w:val="18"/>
                <w:lang w:eastAsia="en-GB"/>
              </w:rPr>
              <w:t>XRP</w:t>
            </w:r>
          </w:p>
        </w:tc>
        <w:tc>
          <w:tcPr>
            <w:tcW w:w="0" w:type="auto"/>
          </w:tcPr>
          <w:p w:rsidR="00335A2E" w:rsidRPr="00335A2E" w:rsidRDefault="00335A2E" w:rsidP="00211C73">
            <w:pPr>
              <w:jc w:val="center"/>
              <w:rPr>
                <w:noProof/>
                <w:sz w:val="18"/>
                <w:szCs w:val="18"/>
                <w:lang w:eastAsia="en-GB"/>
              </w:rPr>
            </w:pPr>
            <w:r w:rsidRPr="00335A2E">
              <w:rPr>
                <w:noProof/>
                <w:sz w:val="18"/>
                <w:szCs w:val="18"/>
                <w:lang w:eastAsia="en-GB"/>
              </w:rPr>
              <w:t>LTC</w:t>
            </w:r>
          </w:p>
        </w:tc>
        <w:tc>
          <w:tcPr>
            <w:tcW w:w="0" w:type="auto"/>
          </w:tcPr>
          <w:p w:rsidR="00335A2E" w:rsidRPr="00335A2E" w:rsidRDefault="00335A2E" w:rsidP="00211C73">
            <w:pPr>
              <w:jc w:val="center"/>
              <w:rPr>
                <w:noProof/>
                <w:sz w:val="18"/>
                <w:szCs w:val="18"/>
                <w:lang w:eastAsia="en-GB"/>
              </w:rPr>
            </w:pPr>
            <w:r w:rsidRPr="00335A2E">
              <w:rPr>
                <w:noProof/>
                <w:sz w:val="18"/>
                <w:szCs w:val="18"/>
                <w:lang w:eastAsia="en-GB"/>
              </w:rPr>
              <w:t>XLM</w:t>
            </w:r>
          </w:p>
        </w:tc>
      </w:tr>
      <w:tr w:rsidR="00335A2E" w:rsidRPr="00335A2E" w:rsidTr="00211C73">
        <w:trPr>
          <w:jc w:val="center"/>
        </w:trPr>
        <w:tc>
          <w:tcPr>
            <w:tcW w:w="0" w:type="auto"/>
          </w:tcPr>
          <w:p w:rsidR="00335A2E" w:rsidRPr="00335A2E" w:rsidRDefault="00335A2E" w:rsidP="00211C73">
            <w:pPr>
              <w:jc w:val="left"/>
              <w:rPr>
                <w:noProof/>
                <w:sz w:val="18"/>
                <w:szCs w:val="18"/>
                <w:lang w:eastAsia="en-GB"/>
              </w:rPr>
            </w:pPr>
            <w:r>
              <w:rPr>
                <w:noProof/>
                <w:sz w:val="18"/>
                <w:szCs w:val="18"/>
                <w:lang w:eastAsia="en-GB"/>
              </w:rPr>
              <w:t>Min</w:t>
            </w:r>
          </w:p>
        </w:tc>
        <w:tc>
          <w:tcPr>
            <w:tcW w:w="0" w:type="auto"/>
          </w:tcPr>
          <w:p w:rsidR="00335A2E" w:rsidRPr="00335A2E" w:rsidRDefault="00335A2E" w:rsidP="00211C73">
            <w:pPr>
              <w:jc w:val="center"/>
              <w:rPr>
                <w:noProof/>
                <w:sz w:val="18"/>
                <w:szCs w:val="18"/>
                <w:lang w:eastAsia="en-GB"/>
              </w:rPr>
            </w:pPr>
            <w:r>
              <w:rPr>
                <w:noProof/>
                <w:sz w:val="18"/>
                <w:szCs w:val="18"/>
                <w:lang w:eastAsia="en-GB"/>
              </w:rPr>
              <w:t>-0.1874</w:t>
            </w:r>
          </w:p>
        </w:tc>
        <w:tc>
          <w:tcPr>
            <w:tcW w:w="0" w:type="auto"/>
          </w:tcPr>
          <w:p w:rsidR="00335A2E" w:rsidRPr="00335A2E" w:rsidRDefault="00335A2E" w:rsidP="00211C73">
            <w:pPr>
              <w:jc w:val="center"/>
              <w:rPr>
                <w:noProof/>
                <w:sz w:val="18"/>
                <w:szCs w:val="18"/>
                <w:lang w:eastAsia="en-GB"/>
              </w:rPr>
            </w:pPr>
            <w:r>
              <w:rPr>
                <w:noProof/>
                <w:sz w:val="18"/>
                <w:szCs w:val="18"/>
                <w:lang w:eastAsia="en-GB"/>
              </w:rPr>
              <w:t>-0.728</w:t>
            </w:r>
          </w:p>
        </w:tc>
        <w:tc>
          <w:tcPr>
            <w:tcW w:w="0" w:type="auto"/>
          </w:tcPr>
          <w:p w:rsidR="00335A2E" w:rsidRPr="00335A2E" w:rsidRDefault="00335A2E" w:rsidP="00211C73">
            <w:pPr>
              <w:jc w:val="center"/>
              <w:rPr>
                <w:noProof/>
                <w:sz w:val="18"/>
                <w:szCs w:val="18"/>
                <w:lang w:eastAsia="en-GB"/>
              </w:rPr>
            </w:pPr>
            <w:r>
              <w:rPr>
                <w:noProof/>
                <w:sz w:val="18"/>
                <w:szCs w:val="18"/>
                <w:lang w:eastAsia="en-GB"/>
              </w:rPr>
              <w:t>-0.46</w:t>
            </w:r>
          </w:p>
        </w:tc>
        <w:tc>
          <w:tcPr>
            <w:tcW w:w="0" w:type="auto"/>
          </w:tcPr>
          <w:p w:rsidR="00335A2E" w:rsidRPr="00335A2E" w:rsidRDefault="00335A2E" w:rsidP="00211C73">
            <w:pPr>
              <w:jc w:val="center"/>
              <w:rPr>
                <w:noProof/>
                <w:sz w:val="18"/>
                <w:szCs w:val="18"/>
                <w:lang w:eastAsia="en-GB"/>
              </w:rPr>
            </w:pPr>
            <w:r>
              <w:rPr>
                <w:noProof/>
                <w:sz w:val="18"/>
                <w:szCs w:val="18"/>
                <w:lang w:eastAsia="en-GB"/>
              </w:rPr>
              <w:t>-0.3264</w:t>
            </w:r>
          </w:p>
        </w:tc>
        <w:tc>
          <w:tcPr>
            <w:tcW w:w="0" w:type="auto"/>
          </w:tcPr>
          <w:p w:rsidR="00335A2E" w:rsidRPr="00335A2E" w:rsidRDefault="00335A2E" w:rsidP="00211C73">
            <w:pPr>
              <w:jc w:val="center"/>
              <w:rPr>
                <w:noProof/>
                <w:sz w:val="18"/>
                <w:szCs w:val="18"/>
                <w:lang w:eastAsia="en-GB"/>
              </w:rPr>
            </w:pPr>
            <w:r>
              <w:rPr>
                <w:noProof/>
                <w:sz w:val="18"/>
                <w:szCs w:val="18"/>
                <w:lang w:eastAsia="en-GB"/>
              </w:rPr>
              <w:t>-0.3067</w:t>
            </w:r>
          </w:p>
        </w:tc>
      </w:tr>
      <w:tr w:rsidR="00335A2E" w:rsidRPr="00335A2E" w:rsidTr="00211C73">
        <w:trPr>
          <w:jc w:val="center"/>
        </w:trPr>
        <w:tc>
          <w:tcPr>
            <w:tcW w:w="0" w:type="auto"/>
          </w:tcPr>
          <w:p w:rsidR="00335A2E" w:rsidRPr="00335A2E" w:rsidRDefault="00335A2E" w:rsidP="00211C73">
            <w:pPr>
              <w:jc w:val="left"/>
              <w:rPr>
                <w:noProof/>
                <w:sz w:val="18"/>
                <w:szCs w:val="18"/>
                <w:lang w:eastAsia="en-GB"/>
              </w:rPr>
            </w:pPr>
            <w:r>
              <w:rPr>
                <w:noProof/>
                <w:sz w:val="18"/>
                <w:szCs w:val="18"/>
                <w:lang w:eastAsia="en-GB"/>
              </w:rPr>
              <w:t>Max</w:t>
            </w:r>
          </w:p>
        </w:tc>
        <w:tc>
          <w:tcPr>
            <w:tcW w:w="0" w:type="auto"/>
          </w:tcPr>
          <w:p w:rsidR="00335A2E" w:rsidRPr="00335A2E" w:rsidRDefault="00335A2E" w:rsidP="00211C73">
            <w:pPr>
              <w:jc w:val="center"/>
              <w:rPr>
                <w:noProof/>
                <w:sz w:val="18"/>
                <w:szCs w:val="18"/>
                <w:lang w:eastAsia="en-GB"/>
              </w:rPr>
            </w:pPr>
            <w:r>
              <w:rPr>
                <w:noProof/>
                <w:sz w:val="18"/>
                <w:szCs w:val="18"/>
                <w:lang w:eastAsia="en-GB"/>
              </w:rPr>
              <w:t>0.2525</w:t>
            </w:r>
          </w:p>
        </w:tc>
        <w:tc>
          <w:tcPr>
            <w:tcW w:w="0" w:type="auto"/>
          </w:tcPr>
          <w:p w:rsidR="00335A2E" w:rsidRPr="00335A2E" w:rsidRDefault="00335A2E" w:rsidP="00211C73">
            <w:pPr>
              <w:jc w:val="center"/>
              <w:rPr>
                <w:noProof/>
                <w:sz w:val="18"/>
                <w:szCs w:val="18"/>
                <w:lang w:eastAsia="en-GB"/>
              </w:rPr>
            </w:pPr>
            <w:r>
              <w:rPr>
                <w:noProof/>
                <w:sz w:val="18"/>
                <w:szCs w:val="18"/>
                <w:lang w:eastAsia="en-GB"/>
              </w:rPr>
              <w:t>0.5103</w:t>
            </w:r>
          </w:p>
        </w:tc>
        <w:tc>
          <w:tcPr>
            <w:tcW w:w="0" w:type="auto"/>
          </w:tcPr>
          <w:p w:rsidR="00335A2E" w:rsidRPr="00335A2E" w:rsidRDefault="00335A2E" w:rsidP="00211C73">
            <w:pPr>
              <w:jc w:val="center"/>
              <w:rPr>
                <w:noProof/>
                <w:sz w:val="18"/>
                <w:szCs w:val="18"/>
                <w:lang w:eastAsia="en-GB"/>
              </w:rPr>
            </w:pPr>
            <w:r>
              <w:rPr>
                <w:noProof/>
                <w:sz w:val="18"/>
                <w:szCs w:val="18"/>
                <w:lang w:eastAsia="en-GB"/>
              </w:rPr>
              <w:t>1.7937</w:t>
            </w:r>
          </w:p>
        </w:tc>
        <w:tc>
          <w:tcPr>
            <w:tcW w:w="0" w:type="auto"/>
          </w:tcPr>
          <w:p w:rsidR="00335A2E" w:rsidRPr="00335A2E" w:rsidRDefault="00335A2E" w:rsidP="00211C73">
            <w:pPr>
              <w:jc w:val="center"/>
              <w:rPr>
                <w:noProof/>
                <w:sz w:val="18"/>
                <w:szCs w:val="18"/>
                <w:lang w:eastAsia="en-GB"/>
              </w:rPr>
            </w:pPr>
            <w:r>
              <w:rPr>
                <w:noProof/>
                <w:sz w:val="18"/>
                <w:szCs w:val="18"/>
                <w:lang w:eastAsia="en-GB"/>
              </w:rPr>
              <w:t>0.6659</w:t>
            </w:r>
          </w:p>
        </w:tc>
        <w:tc>
          <w:tcPr>
            <w:tcW w:w="0" w:type="auto"/>
          </w:tcPr>
          <w:p w:rsidR="00335A2E" w:rsidRPr="00335A2E" w:rsidRDefault="00335A2E" w:rsidP="00211C73">
            <w:pPr>
              <w:jc w:val="center"/>
              <w:rPr>
                <w:noProof/>
                <w:sz w:val="18"/>
                <w:szCs w:val="18"/>
                <w:lang w:eastAsia="en-GB"/>
              </w:rPr>
            </w:pPr>
            <w:r>
              <w:rPr>
                <w:noProof/>
                <w:sz w:val="18"/>
                <w:szCs w:val="18"/>
                <w:lang w:eastAsia="en-GB"/>
              </w:rPr>
              <w:t>1.0608</w:t>
            </w:r>
          </w:p>
        </w:tc>
      </w:tr>
      <w:tr w:rsidR="00335A2E" w:rsidRPr="00335A2E" w:rsidTr="00211C73">
        <w:trPr>
          <w:jc w:val="center"/>
        </w:trPr>
        <w:tc>
          <w:tcPr>
            <w:tcW w:w="0" w:type="auto"/>
          </w:tcPr>
          <w:p w:rsidR="00335A2E" w:rsidRPr="00335A2E" w:rsidRDefault="00335A2E" w:rsidP="00211C73">
            <w:pPr>
              <w:jc w:val="left"/>
              <w:rPr>
                <w:noProof/>
                <w:sz w:val="18"/>
                <w:szCs w:val="18"/>
                <w:lang w:eastAsia="en-GB"/>
              </w:rPr>
            </w:pPr>
            <w:r>
              <w:rPr>
                <w:noProof/>
                <w:sz w:val="18"/>
                <w:szCs w:val="18"/>
                <w:lang w:eastAsia="en-GB"/>
              </w:rPr>
              <w:t>Mean</w:t>
            </w:r>
          </w:p>
        </w:tc>
        <w:tc>
          <w:tcPr>
            <w:tcW w:w="0" w:type="auto"/>
          </w:tcPr>
          <w:p w:rsidR="00335A2E" w:rsidRPr="00335A2E" w:rsidRDefault="00211C73" w:rsidP="00211C73">
            <w:pPr>
              <w:jc w:val="center"/>
              <w:rPr>
                <w:noProof/>
                <w:sz w:val="18"/>
                <w:szCs w:val="18"/>
                <w:lang w:eastAsia="en-GB"/>
              </w:rPr>
            </w:pPr>
            <w:r>
              <w:rPr>
                <w:noProof/>
                <w:sz w:val="18"/>
                <w:szCs w:val="18"/>
                <w:lang w:eastAsia="en-GB"/>
              </w:rPr>
              <w:t>0.0031</w:t>
            </w:r>
          </w:p>
        </w:tc>
        <w:tc>
          <w:tcPr>
            <w:tcW w:w="0" w:type="auto"/>
          </w:tcPr>
          <w:p w:rsidR="00335A2E" w:rsidRPr="00335A2E" w:rsidRDefault="00211C73" w:rsidP="00211C73">
            <w:pPr>
              <w:jc w:val="center"/>
              <w:rPr>
                <w:noProof/>
                <w:sz w:val="18"/>
                <w:szCs w:val="18"/>
                <w:lang w:eastAsia="en-GB"/>
              </w:rPr>
            </w:pPr>
            <w:r>
              <w:rPr>
                <w:noProof/>
                <w:sz w:val="18"/>
                <w:szCs w:val="18"/>
                <w:lang w:eastAsia="en-GB"/>
              </w:rPr>
              <w:t>0.0052</w:t>
            </w:r>
          </w:p>
        </w:tc>
        <w:tc>
          <w:tcPr>
            <w:tcW w:w="0" w:type="auto"/>
          </w:tcPr>
          <w:p w:rsidR="00335A2E" w:rsidRPr="00335A2E" w:rsidRDefault="00211C73" w:rsidP="00211C73">
            <w:pPr>
              <w:jc w:val="center"/>
              <w:rPr>
                <w:noProof/>
                <w:sz w:val="18"/>
                <w:szCs w:val="18"/>
                <w:lang w:eastAsia="en-GB"/>
              </w:rPr>
            </w:pPr>
            <w:r>
              <w:rPr>
                <w:noProof/>
                <w:sz w:val="18"/>
                <w:szCs w:val="18"/>
                <w:lang w:eastAsia="en-GB"/>
              </w:rPr>
              <w:t>0.005</w:t>
            </w:r>
          </w:p>
        </w:tc>
        <w:tc>
          <w:tcPr>
            <w:tcW w:w="0" w:type="auto"/>
          </w:tcPr>
          <w:p w:rsidR="00335A2E" w:rsidRPr="00335A2E" w:rsidRDefault="00211C73" w:rsidP="00211C73">
            <w:pPr>
              <w:jc w:val="center"/>
              <w:rPr>
                <w:noProof/>
                <w:sz w:val="18"/>
                <w:szCs w:val="18"/>
                <w:lang w:eastAsia="en-GB"/>
              </w:rPr>
            </w:pPr>
            <w:r>
              <w:rPr>
                <w:noProof/>
                <w:sz w:val="18"/>
                <w:szCs w:val="18"/>
                <w:lang w:eastAsia="en-GB"/>
              </w:rPr>
              <w:t>0.0033</w:t>
            </w:r>
          </w:p>
        </w:tc>
        <w:tc>
          <w:tcPr>
            <w:tcW w:w="0" w:type="auto"/>
          </w:tcPr>
          <w:p w:rsidR="00335A2E" w:rsidRPr="00335A2E" w:rsidRDefault="00211C73" w:rsidP="00211C73">
            <w:pPr>
              <w:jc w:val="center"/>
              <w:rPr>
                <w:noProof/>
                <w:sz w:val="18"/>
                <w:szCs w:val="18"/>
                <w:lang w:eastAsia="en-GB"/>
              </w:rPr>
            </w:pPr>
            <w:r>
              <w:rPr>
                <w:noProof/>
                <w:sz w:val="18"/>
                <w:szCs w:val="18"/>
                <w:lang w:eastAsia="en-GB"/>
              </w:rPr>
              <w:t>0.0054</w:t>
            </w:r>
          </w:p>
        </w:tc>
      </w:tr>
      <w:tr w:rsidR="00335A2E" w:rsidRPr="00335A2E" w:rsidTr="00211C73">
        <w:trPr>
          <w:jc w:val="center"/>
        </w:trPr>
        <w:tc>
          <w:tcPr>
            <w:tcW w:w="0" w:type="auto"/>
          </w:tcPr>
          <w:p w:rsidR="00335A2E" w:rsidRPr="00335A2E" w:rsidRDefault="00335A2E" w:rsidP="00211C73">
            <w:pPr>
              <w:jc w:val="left"/>
              <w:rPr>
                <w:noProof/>
                <w:sz w:val="18"/>
                <w:szCs w:val="18"/>
                <w:lang w:eastAsia="en-GB"/>
              </w:rPr>
            </w:pPr>
            <w:r>
              <w:rPr>
                <w:noProof/>
                <w:sz w:val="18"/>
                <w:szCs w:val="18"/>
                <w:lang w:eastAsia="en-GB"/>
              </w:rPr>
              <w:t>Median</w:t>
            </w:r>
          </w:p>
        </w:tc>
        <w:tc>
          <w:tcPr>
            <w:tcW w:w="0" w:type="auto"/>
          </w:tcPr>
          <w:p w:rsidR="00335A2E" w:rsidRPr="00335A2E" w:rsidRDefault="00211C73" w:rsidP="00211C73">
            <w:pPr>
              <w:jc w:val="center"/>
              <w:rPr>
                <w:noProof/>
                <w:sz w:val="18"/>
                <w:szCs w:val="18"/>
                <w:lang w:eastAsia="en-GB"/>
              </w:rPr>
            </w:pPr>
            <w:r>
              <w:rPr>
                <w:noProof/>
                <w:sz w:val="18"/>
                <w:szCs w:val="18"/>
                <w:lang w:eastAsia="en-GB"/>
              </w:rPr>
              <w:t>0.0023</w:t>
            </w:r>
          </w:p>
        </w:tc>
        <w:tc>
          <w:tcPr>
            <w:tcW w:w="0" w:type="auto"/>
          </w:tcPr>
          <w:p w:rsidR="00335A2E" w:rsidRPr="00335A2E" w:rsidRDefault="00211C73" w:rsidP="00211C73">
            <w:pPr>
              <w:jc w:val="center"/>
              <w:rPr>
                <w:noProof/>
                <w:sz w:val="18"/>
                <w:szCs w:val="18"/>
                <w:lang w:eastAsia="en-GB"/>
              </w:rPr>
            </w:pPr>
            <w:r>
              <w:rPr>
                <w:noProof/>
                <w:sz w:val="18"/>
                <w:szCs w:val="18"/>
                <w:lang w:eastAsia="en-GB"/>
              </w:rPr>
              <w:t>-0.0008</w:t>
            </w:r>
          </w:p>
        </w:tc>
        <w:tc>
          <w:tcPr>
            <w:tcW w:w="0" w:type="auto"/>
          </w:tcPr>
          <w:p w:rsidR="00335A2E" w:rsidRPr="00335A2E" w:rsidRDefault="00211C73" w:rsidP="00211C73">
            <w:pPr>
              <w:jc w:val="center"/>
              <w:rPr>
                <w:noProof/>
                <w:sz w:val="18"/>
                <w:szCs w:val="18"/>
                <w:lang w:eastAsia="en-GB"/>
              </w:rPr>
            </w:pPr>
            <w:r>
              <w:rPr>
                <w:noProof/>
                <w:sz w:val="18"/>
                <w:szCs w:val="18"/>
                <w:lang w:eastAsia="en-GB"/>
              </w:rPr>
              <w:t>-0.0034</w:t>
            </w:r>
          </w:p>
        </w:tc>
        <w:tc>
          <w:tcPr>
            <w:tcW w:w="0" w:type="auto"/>
          </w:tcPr>
          <w:p w:rsidR="00335A2E" w:rsidRPr="00335A2E" w:rsidRDefault="00211C73" w:rsidP="00211C73">
            <w:pPr>
              <w:jc w:val="center"/>
              <w:rPr>
                <w:noProof/>
                <w:sz w:val="18"/>
                <w:szCs w:val="18"/>
                <w:lang w:eastAsia="en-GB"/>
              </w:rPr>
            </w:pPr>
            <w:r>
              <w:rPr>
                <w:noProof/>
                <w:sz w:val="18"/>
                <w:szCs w:val="18"/>
                <w:lang w:eastAsia="en-GB"/>
              </w:rPr>
              <w:t>-0.0001</w:t>
            </w:r>
          </w:p>
        </w:tc>
        <w:tc>
          <w:tcPr>
            <w:tcW w:w="0" w:type="auto"/>
          </w:tcPr>
          <w:p w:rsidR="00335A2E" w:rsidRPr="00335A2E" w:rsidRDefault="00211C73" w:rsidP="00211C73">
            <w:pPr>
              <w:jc w:val="center"/>
              <w:rPr>
                <w:noProof/>
                <w:sz w:val="18"/>
                <w:szCs w:val="18"/>
                <w:lang w:eastAsia="en-GB"/>
              </w:rPr>
            </w:pPr>
            <w:r>
              <w:rPr>
                <w:noProof/>
                <w:sz w:val="18"/>
                <w:szCs w:val="18"/>
                <w:lang w:eastAsia="en-GB"/>
              </w:rPr>
              <w:t>-0.0037</w:t>
            </w:r>
          </w:p>
        </w:tc>
      </w:tr>
      <w:tr w:rsidR="00335A2E" w:rsidRPr="00335A2E" w:rsidTr="00211C73">
        <w:trPr>
          <w:jc w:val="center"/>
        </w:trPr>
        <w:tc>
          <w:tcPr>
            <w:tcW w:w="0" w:type="auto"/>
          </w:tcPr>
          <w:p w:rsidR="00335A2E" w:rsidRPr="00335A2E" w:rsidRDefault="00335A2E" w:rsidP="00211C73">
            <w:pPr>
              <w:jc w:val="left"/>
              <w:rPr>
                <w:noProof/>
                <w:sz w:val="18"/>
                <w:szCs w:val="18"/>
                <w:lang w:eastAsia="en-GB"/>
              </w:rPr>
            </w:pPr>
            <w:r>
              <w:rPr>
                <w:noProof/>
                <w:sz w:val="18"/>
                <w:szCs w:val="18"/>
                <w:lang w:eastAsia="en-GB"/>
              </w:rPr>
              <w:t>1</w:t>
            </w:r>
            <w:r w:rsidRPr="00335A2E">
              <w:rPr>
                <w:noProof/>
                <w:sz w:val="18"/>
                <w:szCs w:val="18"/>
                <w:vertAlign w:val="superscript"/>
                <w:lang w:eastAsia="en-GB"/>
              </w:rPr>
              <w:t>st</w:t>
            </w:r>
            <w:r w:rsidR="004E1C8E">
              <w:rPr>
                <w:noProof/>
                <w:sz w:val="18"/>
                <w:szCs w:val="18"/>
                <w:lang w:eastAsia="en-GB"/>
              </w:rPr>
              <w:t xml:space="preserve"> Quar</w:t>
            </w:r>
            <w:r>
              <w:rPr>
                <w:noProof/>
                <w:sz w:val="18"/>
                <w:szCs w:val="18"/>
                <w:lang w:eastAsia="en-GB"/>
              </w:rPr>
              <w:t>tile</w:t>
            </w:r>
          </w:p>
        </w:tc>
        <w:tc>
          <w:tcPr>
            <w:tcW w:w="0" w:type="auto"/>
          </w:tcPr>
          <w:p w:rsidR="00335A2E" w:rsidRPr="00335A2E" w:rsidRDefault="00211C73" w:rsidP="00211C73">
            <w:pPr>
              <w:jc w:val="center"/>
              <w:rPr>
                <w:noProof/>
                <w:sz w:val="18"/>
                <w:szCs w:val="18"/>
                <w:lang w:eastAsia="en-GB"/>
              </w:rPr>
            </w:pPr>
            <w:r>
              <w:rPr>
                <w:noProof/>
                <w:sz w:val="18"/>
                <w:szCs w:val="18"/>
                <w:lang w:eastAsia="en-GB"/>
              </w:rPr>
              <w:t>-0.0107</w:t>
            </w:r>
          </w:p>
        </w:tc>
        <w:tc>
          <w:tcPr>
            <w:tcW w:w="0" w:type="auto"/>
          </w:tcPr>
          <w:p w:rsidR="00335A2E" w:rsidRPr="00335A2E" w:rsidRDefault="00211C73" w:rsidP="00211C73">
            <w:pPr>
              <w:jc w:val="center"/>
              <w:rPr>
                <w:noProof/>
                <w:sz w:val="18"/>
                <w:szCs w:val="18"/>
                <w:lang w:eastAsia="en-GB"/>
              </w:rPr>
            </w:pPr>
            <w:r>
              <w:rPr>
                <w:noProof/>
                <w:sz w:val="18"/>
                <w:szCs w:val="18"/>
                <w:lang w:eastAsia="en-GB"/>
              </w:rPr>
              <w:t>-0.0244</w:t>
            </w:r>
          </w:p>
        </w:tc>
        <w:tc>
          <w:tcPr>
            <w:tcW w:w="0" w:type="auto"/>
          </w:tcPr>
          <w:p w:rsidR="00335A2E" w:rsidRPr="00335A2E" w:rsidRDefault="00211C73" w:rsidP="00211C73">
            <w:pPr>
              <w:jc w:val="center"/>
              <w:rPr>
                <w:noProof/>
                <w:sz w:val="18"/>
                <w:szCs w:val="18"/>
                <w:lang w:eastAsia="en-GB"/>
              </w:rPr>
            </w:pPr>
            <w:r>
              <w:rPr>
                <w:noProof/>
                <w:sz w:val="18"/>
                <w:szCs w:val="18"/>
                <w:lang w:eastAsia="en-GB"/>
              </w:rPr>
              <w:t>-0.0205</w:t>
            </w:r>
          </w:p>
        </w:tc>
        <w:tc>
          <w:tcPr>
            <w:tcW w:w="0" w:type="auto"/>
          </w:tcPr>
          <w:p w:rsidR="00335A2E" w:rsidRPr="00335A2E" w:rsidRDefault="00211C73" w:rsidP="00211C73">
            <w:pPr>
              <w:jc w:val="center"/>
              <w:rPr>
                <w:noProof/>
                <w:sz w:val="18"/>
                <w:szCs w:val="18"/>
                <w:lang w:eastAsia="en-GB"/>
              </w:rPr>
            </w:pPr>
            <w:r>
              <w:rPr>
                <w:noProof/>
                <w:sz w:val="18"/>
                <w:szCs w:val="18"/>
                <w:lang w:eastAsia="en-GB"/>
              </w:rPr>
              <w:t>-0.0188</w:t>
            </w:r>
          </w:p>
        </w:tc>
        <w:tc>
          <w:tcPr>
            <w:tcW w:w="0" w:type="auto"/>
          </w:tcPr>
          <w:p w:rsidR="00335A2E" w:rsidRPr="00335A2E" w:rsidRDefault="00211C73" w:rsidP="00211C73">
            <w:pPr>
              <w:jc w:val="center"/>
              <w:rPr>
                <w:noProof/>
                <w:sz w:val="18"/>
                <w:szCs w:val="18"/>
                <w:lang w:eastAsia="en-GB"/>
              </w:rPr>
            </w:pPr>
            <w:r>
              <w:rPr>
                <w:noProof/>
                <w:sz w:val="18"/>
                <w:szCs w:val="18"/>
                <w:lang w:eastAsia="en-GB"/>
              </w:rPr>
              <w:t>-0.0302</w:t>
            </w:r>
          </w:p>
        </w:tc>
      </w:tr>
      <w:tr w:rsidR="00335A2E" w:rsidRPr="00335A2E" w:rsidTr="00211C73">
        <w:trPr>
          <w:jc w:val="center"/>
        </w:trPr>
        <w:tc>
          <w:tcPr>
            <w:tcW w:w="0" w:type="auto"/>
          </w:tcPr>
          <w:p w:rsidR="00335A2E" w:rsidRPr="00335A2E" w:rsidRDefault="00335A2E" w:rsidP="00211C73">
            <w:pPr>
              <w:jc w:val="left"/>
              <w:rPr>
                <w:noProof/>
                <w:sz w:val="18"/>
                <w:szCs w:val="18"/>
                <w:lang w:eastAsia="en-GB"/>
              </w:rPr>
            </w:pPr>
            <w:r>
              <w:rPr>
                <w:noProof/>
                <w:sz w:val="18"/>
                <w:szCs w:val="18"/>
                <w:lang w:eastAsia="en-GB"/>
              </w:rPr>
              <w:t>3</w:t>
            </w:r>
            <w:r w:rsidRPr="00335A2E">
              <w:rPr>
                <w:noProof/>
                <w:sz w:val="18"/>
                <w:szCs w:val="18"/>
                <w:vertAlign w:val="superscript"/>
                <w:lang w:eastAsia="en-GB"/>
              </w:rPr>
              <w:t>rd</w:t>
            </w:r>
            <w:r w:rsidR="004E1C8E">
              <w:rPr>
                <w:noProof/>
                <w:sz w:val="18"/>
                <w:szCs w:val="18"/>
                <w:lang w:eastAsia="en-GB"/>
              </w:rPr>
              <w:t xml:space="preserve"> Quar</w:t>
            </w:r>
            <w:r>
              <w:rPr>
                <w:noProof/>
                <w:sz w:val="18"/>
                <w:szCs w:val="18"/>
                <w:lang w:eastAsia="en-GB"/>
              </w:rPr>
              <w:t>tile</w:t>
            </w:r>
          </w:p>
        </w:tc>
        <w:tc>
          <w:tcPr>
            <w:tcW w:w="0" w:type="auto"/>
          </w:tcPr>
          <w:p w:rsidR="00335A2E" w:rsidRPr="00335A2E" w:rsidRDefault="00211C73" w:rsidP="00211C73">
            <w:pPr>
              <w:jc w:val="center"/>
              <w:rPr>
                <w:noProof/>
                <w:sz w:val="18"/>
                <w:szCs w:val="18"/>
                <w:lang w:eastAsia="en-GB"/>
              </w:rPr>
            </w:pPr>
            <w:r>
              <w:rPr>
                <w:noProof/>
                <w:sz w:val="18"/>
                <w:szCs w:val="18"/>
                <w:lang w:eastAsia="en-GB"/>
              </w:rPr>
              <w:t>0.0181</w:t>
            </w:r>
          </w:p>
        </w:tc>
        <w:tc>
          <w:tcPr>
            <w:tcW w:w="0" w:type="auto"/>
          </w:tcPr>
          <w:p w:rsidR="00335A2E" w:rsidRPr="00335A2E" w:rsidRDefault="00211C73" w:rsidP="00211C73">
            <w:pPr>
              <w:jc w:val="center"/>
              <w:rPr>
                <w:noProof/>
                <w:sz w:val="18"/>
                <w:szCs w:val="18"/>
                <w:lang w:eastAsia="en-GB"/>
              </w:rPr>
            </w:pPr>
            <w:r>
              <w:rPr>
                <w:noProof/>
                <w:sz w:val="18"/>
                <w:szCs w:val="18"/>
                <w:lang w:eastAsia="en-GB"/>
              </w:rPr>
              <w:t>0.029</w:t>
            </w:r>
          </w:p>
        </w:tc>
        <w:tc>
          <w:tcPr>
            <w:tcW w:w="0" w:type="auto"/>
          </w:tcPr>
          <w:p w:rsidR="00335A2E" w:rsidRPr="00335A2E" w:rsidRDefault="00211C73" w:rsidP="00211C73">
            <w:pPr>
              <w:jc w:val="center"/>
              <w:rPr>
                <w:noProof/>
                <w:sz w:val="18"/>
                <w:szCs w:val="18"/>
                <w:lang w:eastAsia="en-GB"/>
              </w:rPr>
            </w:pPr>
            <w:r>
              <w:rPr>
                <w:noProof/>
                <w:sz w:val="18"/>
                <w:szCs w:val="18"/>
                <w:lang w:eastAsia="en-GB"/>
              </w:rPr>
              <w:t>0.0177</w:t>
            </w:r>
          </w:p>
        </w:tc>
        <w:tc>
          <w:tcPr>
            <w:tcW w:w="0" w:type="auto"/>
          </w:tcPr>
          <w:p w:rsidR="00335A2E" w:rsidRPr="00335A2E" w:rsidRDefault="00211C73" w:rsidP="00211C73">
            <w:pPr>
              <w:jc w:val="center"/>
              <w:rPr>
                <w:noProof/>
                <w:sz w:val="18"/>
                <w:szCs w:val="18"/>
                <w:lang w:eastAsia="en-GB"/>
              </w:rPr>
            </w:pPr>
            <w:r>
              <w:rPr>
                <w:noProof/>
                <w:sz w:val="18"/>
                <w:szCs w:val="18"/>
                <w:lang w:eastAsia="en-GB"/>
              </w:rPr>
              <w:t>0.0194</w:t>
            </w:r>
          </w:p>
        </w:tc>
        <w:tc>
          <w:tcPr>
            <w:tcW w:w="0" w:type="auto"/>
          </w:tcPr>
          <w:p w:rsidR="00335A2E" w:rsidRPr="00335A2E" w:rsidRDefault="00211C73" w:rsidP="00211C73">
            <w:pPr>
              <w:jc w:val="center"/>
              <w:rPr>
                <w:noProof/>
                <w:sz w:val="18"/>
                <w:szCs w:val="18"/>
                <w:lang w:eastAsia="en-GB"/>
              </w:rPr>
            </w:pPr>
            <w:r>
              <w:rPr>
                <w:noProof/>
                <w:sz w:val="18"/>
                <w:szCs w:val="18"/>
                <w:lang w:eastAsia="en-GB"/>
              </w:rPr>
              <w:t>0.0271</w:t>
            </w:r>
          </w:p>
        </w:tc>
      </w:tr>
      <w:tr w:rsidR="00335A2E" w:rsidRPr="00335A2E" w:rsidTr="00211C73">
        <w:trPr>
          <w:jc w:val="center"/>
        </w:trPr>
        <w:tc>
          <w:tcPr>
            <w:tcW w:w="0" w:type="auto"/>
          </w:tcPr>
          <w:p w:rsidR="00335A2E" w:rsidRPr="00335A2E" w:rsidRDefault="00335A2E" w:rsidP="00211C73">
            <w:pPr>
              <w:jc w:val="left"/>
              <w:rPr>
                <w:noProof/>
                <w:sz w:val="18"/>
                <w:szCs w:val="18"/>
                <w:lang w:eastAsia="en-GB"/>
              </w:rPr>
            </w:pPr>
            <w:r>
              <w:rPr>
                <w:noProof/>
                <w:sz w:val="18"/>
                <w:szCs w:val="18"/>
                <w:lang w:eastAsia="en-GB"/>
              </w:rPr>
              <w:t>Standard Deviation</w:t>
            </w:r>
          </w:p>
        </w:tc>
        <w:tc>
          <w:tcPr>
            <w:tcW w:w="0" w:type="auto"/>
          </w:tcPr>
          <w:p w:rsidR="00335A2E" w:rsidRPr="00335A2E" w:rsidRDefault="00993CC7" w:rsidP="00211C73">
            <w:pPr>
              <w:jc w:val="center"/>
              <w:rPr>
                <w:noProof/>
                <w:sz w:val="18"/>
                <w:szCs w:val="18"/>
                <w:lang w:eastAsia="en-GB"/>
              </w:rPr>
            </w:pPr>
            <w:r>
              <w:rPr>
                <w:noProof/>
                <w:sz w:val="18"/>
                <w:szCs w:val="18"/>
                <w:lang w:eastAsia="en-GB"/>
              </w:rPr>
              <w:t>0.0395</w:t>
            </w:r>
          </w:p>
        </w:tc>
        <w:tc>
          <w:tcPr>
            <w:tcW w:w="0" w:type="auto"/>
          </w:tcPr>
          <w:p w:rsidR="00335A2E" w:rsidRPr="00335A2E" w:rsidRDefault="00993CC7" w:rsidP="00211C73">
            <w:pPr>
              <w:jc w:val="center"/>
              <w:rPr>
                <w:noProof/>
                <w:sz w:val="18"/>
                <w:szCs w:val="18"/>
                <w:lang w:eastAsia="en-GB"/>
              </w:rPr>
            </w:pPr>
            <w:r>
              <w:rPr>
                <w:noProof/>
                <w:sz w:val="18"/>
                <w:szCs w:val="18"/>
                <w:lang w:eastAsia="en-GB"/>
              </w:rPr>
              <w:t>0.0688</w:t>
            </w:r>
          </w:p>
        </w:tc>
        <w:tc>
          <w:tcPr>
            <w:tcW w:w="0" w:type="auto"/>
          </w:tcPr>
          <w:p w:rsidR="00335A2E" w:rsidRPr="00335A2E" w:rsidRDefault="00993CC7" w:rsidP="00211C73">
            <w:pPr>
              <w:jc w:val="center"/>
              <w:rPr>
                <w:noProof/>
                <w:sz w:val="18"/>
                <w:szCs w:val="18"/>
                <w:lang w:eastAsia="en-GB"/>
              </w:rPr>
            </w:pPr>
            <w:r>
              <w:rPr>
                <w:noProof/>
                <w:sz w:val="18"/>
                <w:szCs w:val="18"/>
                <w:lang w:eastAsia="en-GB"/>
              </w:rPr>
              <w:t>0.0831</w:t>
            </w:r>
          </w:p>
        </w:tc>
        <w:tc>
          <w:tcPr>
            <w:tcW w:w="0" w:type="auto"/>
          </w:tcPr>
          <w:p w:rsidR="00335A2E" w:rsidRPr="00335A2E" w:rsidRDefault="00993CC7" w:rsidP="00211C73">
            <w:pPr>
              <w:jc w:val="center"/>
              <w:rPr>
                <w:noProof/>
                <w:sz w:val="18"/>
                <w:szCs w:val="18"/>
                <w:lang w:eastAsia="en-GB"/>
              </w:rPr>
            </w:pPr>
            <w:r>
              <w:rPr>
                <w:noProof/>
                <w:sz w:val="18"/>
                <w:szCs w:val="18"/>
                <w:lang w:eastAsia="en-GB"/>
              </w:rPr>
              <w:t>0.0587</w:t>
            </w:r>
          </w:p>
        </w:tc>
        <w:tc>
          <w:tcPr>
            <w:tcW w:w="0" w:type="auto"/>
          </w:tcPr>
          <w:p w:rsidR="00335A2E" w:rsidRPr="00335A2E" w:rsidRDefault="00993CC7" w:rsidP="00211C73">
            <w:pPr>
              <w:jc w:val="center"/>
              <w:rPr>
                <w:noProof/>
                <w:sz w:val="18"/>
                <w:szCs w:val="18"/>
                <w:lang w:eastAsia="en-GB"/>
              </w:rPr>
            </w:pPr>
            <w:r>
              <w:rPr>
                <w:noProof/>
                <w:sz w:val="18"/>
                <w:szCs w:val="18"/>
                <w:lang w:eastAsia="en-GB"/>
              </w:rPr>
              <w:t>0.0869</w:t>
            </w:r>
          </w:p>
        </w:tc>
      </w:tr>
      <w:tr w:rsidR="00335A2E" w:rsidRPr="00335A2E" w:rsidTr="00211C73">
        <w:trPr>
          <w:jc w:val="center"/>
        </w:trPr>
        <w:tc>
          <w:tcPr>
            <w:tcW w:w="0" w:type="auto"/>
          </w:tcPr>
          <w:p w:rsidR="00335A2E" w:rsidRDefault="00335A2E" w:rsidP="00211C73">
            <w:pPr>
              <w:jc w:val="left"/>
              <w:rPr>
                <w:noProof/>
                <w:sz w:val="18"/>
                <w:szCs w:val="18"/>
                <w:lang w:eastAsia="en-GB"/>
              </w:rPr>
            </w:pPr>
            <w:r>
              <w:rPr>
                <w:noProof/>
                <w:sz w:val="18"/>
                <w:szCs w:val="18"/>
                <w:lang w:eastAsia="en-GB"/>
              </w:rPr>
              <w:t>Skewness</w:t>
            </w:r>
          </w:p>
        </w:tc>
        <w:tc>
          <w:tcPr>
            <w:tcW w:w="0" w:type="auto"/>
          </w:tcPr>
          <w:p w:rsidR="00335A2E" w:rsidRPr="00335A2E" w:rsidRDefault="00993CC7" w:rsidP="00211C73">
            <w:pPr>
              <w:jc w:val="center"/>
              <w:rPr>
                <w:noProof/>
                <w:sz w:val="18"/>
                <w:szCs w:val="18"/>
                <w:lang w:eastAsia="en-GB"/>
              </w:rPr>
            </w:pPr>
            <w:r>
              <w:rPr>
                <w:noProof/>
                <w:sz w:val="18"/>
                <w:szCs w:val="18"/>
                <w:lang w:eastAsia="en-GB"/>
              </w:rPr>
              <w:t>0.1963</w:t>
            </w:r>
          </w:p>
        </w:tc>
        <w:tc>
          <w:tcPr>
            <w:tcW w:w="0" w:type="auto"/>
          </w:tcPr>
          <w:p w:rsidR="00335A2E" w:rsidRPr="00335A2E" w:rsidRDefault="00993CC7" w:rsidP="00211C73">
            <w:pPr>
              <w:jc w:val="center"/>
              <w:rPr>
                <w:noProof/>
                <w:sz w:val="18"/>
                <w:szCs w:val="18"/>
                <w:lang w:eastAsia="en-GB"/>
              </w:rPr>
            </w:pPr>
            <w:r>
              <w:rPr>
                <w:noProof/>
                <w:sz w:val="18"/>
                <w:szCs w:val="18"/>
                <w:lang w:eastAsia="en-GB"/>
              </w:rPr>
              <w:t>0.2805</w:t>
            </w:r>
          </w:p>
        </w:tc>
        <w:tc>
          <w:tcPr>
            <w:tcW w:w="0" w:type="auto"/>
          </w:tcPr>
          <w:p w:rsidR="00335A2E" w:rsidRPr="00335A2E" w:rsidRDefault="00993CC7" w:rsidP="00211C73">
            <w:pPr>
              <w:jc w:val="center"/>
              <w:rPr>
                <w:noProof/>
                <w:sz w:val="18"/>
                <w:szCs w:val="18"/>
                <w:lang w:eastAsia="en-GB"/>
              </w:rPr>
            </w:pPr>
            <w:r>
              <w:rPr>
                <w:noProof/>
                <w:sz w:val="18"/>
                <w:szCs w:val="18"/>
                <w:lang w:eastAsia="en-GB"/>
              </w:rPr>
              <w:t>8.2647</w:t>
            </w:r>
          </w:p>
        </w:tc>
        <w:tc>
          <w:tcPr>
            <w:tcW w:w="0" w:type="auto"/>
          </w:tcPr>
          <w:p w:rsidR="00335A2E" w:rsidRPr="00335A2E" w:rsidRDefault="00993CC7" w:rsidP="00211C73">
            <w:pPr>
              <w:jc w:val="center"/>
              <w:rPr>
                <w:noProof/>
                <w:sz w:val="18"/>
                <w:szCs w:val="18"/>
                <w:lang w:eastAsia="en-GB"/>
              </w:rPr>
            </w:pPr>
            <w:r>
              <w:rPr>
                <w:noProof/>
                <w:sz w:val="18"/>
                <w:szCs w:val="18"/>
                <w:lang w:eastAsia="en-GB"/>
              </w:rPr>
              <w:t>2.3323</w:t>
            </w:r>
          </w:p>
        </w:tc>
        <w:tc>
          <w:tcPr>
            <w:tcW w:w="0" w:type="auto"/>
          </w:tcPr>
          <w:p w:rsidR="00335A2E" w:rsidRPr="00335A2E" w:rsidRDefault="00993CC7" w:rsidP="00211C73">
            <w:pPr>
              <w:jc w:val="center"/>
              <w:rPr>
                <w:noProof/>
                <w:sz w:val="18"/>
                <w:szCs w:val="18"/>
                <w:lang w:eastAsia="en-GB"/>
              </w:rPr>
            </w:pPr>
            <w:r>
              <w:rPr>
                <w:noProof/>
                <w:sz w:val="18"/>
                <w:szCs w:val="18"/>
                <w:lang w:eastAsia="en-GB"/>
              </w:rPr>
              <w:t>4.2123</w:t>
            </w:r>
          </w:p>
        </w:tc>
      </w:tr>
      <w:tr w:rsidR="00335A2E" w:rsidRPr="00335A2E" w:rsidTr="00211C73">
        <w:trPr>
          <w:jc w:val="center"/>
        </w:trPr>
        <w:tc>
          <w:tcPr>
            <w:tcW w:w="0" w:type="auto"/>
          </w:tcPr>
          <w:p w:rsidR="00335A2E" w:rsidRDefault="00335A2E" w:rsidP="00211C73">
            <w:pPr>
              <w:jc w:val="left"/>
              <w:rPr>
                <w:noProof/>
                <w:sz w:val="18"/>
                <w:szCs w:val="18"/>
                <w:lang w:eastAsia="en-GB"/>
              </w:rPr>
            </w:pPr>
            <w:r>
              <w:rPr>
                <w:noProof/>
                <w:sz w:val="18"/>
                <w:szCs w:val="18"/>
                <w:lang w:eastAsia="en-GB"/>
              </w:rPr>
              <w:t>Kurtosis</w:t>
            </w:r>
          </w:p>
        </w:tc>
        <w:tc>
          <w:tcPr>
            <w:tcW w:w="0" w:type="auto"/>
          </w:tcPr>
          <w:p w:rsidR="00335A2E" w:rsidRPr="00335A2E" w:rsidRDefault="00993CC7" w:rsidP="00211C73">
            <w:pPr>
              <w:jc w:val="center"/>
              <w:rPr>
                <w:noProof/>
                <w:sz w:val="18"/>
                <w:szCs w:val="18"/>
                <w:lang w:eastAsia="en-GB"/>
              </w:rPr>
            </w:pPr>
            <w:r>
              <w:rPr>
                <w:noProof/>
                <w:sz w:val="18"/>
                <w:szCs w:val="18"/>
                <w:lang w:eastAsia="en-GB"/>
              </w:rPr>
              <w:t>7.9092</w:t>
            </w:r>
          </w:p>
        </w:tc>
        <w:tc>
          <w:tcPr>
            <w:tcW w:w="0" w:type="auto"/>
          </w:tcPr>
          <w:p w:rsidR="00335A2E" w:rsidRPr="00335A2E" w:rsidRDefault="00993CC7" w:rsidP="00211C73">
            <w:pPr>
              <w:jc w:val="center"/>
              <w:rPr>
                <w:noProof/>
                <w:sz w:val="18"/>
                <w:szCs w:val="18"/>
                <w:lang w:eastAsia="en-GB"/>
              </w:rPr>
            </w:pPr>
            <w:r>
              <w:rPr>
                <w:noProof/>
                <w:sz w:val="18"/>
                <w:szCs w:val="18"/>
                <w:lang w:eastAsia="en-GB"/>
              </w:rPr>
              <w:t>17.1764</w:t>
            </w:r>
          </w:p>
        </w:tc>
        <w:tc>
          <w:tcPr>
            <w:tcW w:w="0" w:type="auto"/>
          </w:tcPr>
          <w:p w:rsidR="00335A2E" w:rsidRPr="00335A2E" w:rsidRDefault="00993CC7" w:rsidP="00211C73">
            <w:pPr>
              <w:jc w:val="center"/>
              <w:rPr>
                <w:noProof/>
                <w:sz w:val="18"/>
                <w:szCs w:val="18"/>
                <w:lang w:eastAsia="en-GB"/>
              </w:rPr>
            </w:pPr>
            <w:r>
              <w:rPr>
                <w:noProof/>
                <w:sz w:val="18"/>
                <w:szCs w:val="18"/>
                <w:lang w:eastAsia="en-GB"/>
              </w:rPr>
              <w:t>153.8595</w:t>
            </w:r>
          </w:p>
        </w:tc>
        <w:tc>
          <w:tcPr>
            <w:tcW w:w="0" w:type="auto"/>
          </w:tcPr>
          <w:p w:rsidR="00335A2E" w:rsidRPr="00335A2E" w:rsidRDefault="00993CC7" w:rsidP="00211C73">
            <w:pPr>
              <w:jc w:val="center"/>
              <w:rPr>
                <w:noProof/>
                <w:sz w:val="18"/>
                <w:szCs w:val="18"/>
                <w:lang w:eastAsia="en-GB"/>
              </w:rPr>
            </w:pPr>
            <w:r>
              <w:rPr>
                <w:noProof/>
                <w:sz w:val="18"/>
                <w:szCs w:val="18"/>
                <w:lang w:eastAsia="en-GB"/>
              </w:rPr>
              <w:t>22.6923</w:t>
            </w:r>
          </w:p>
        </w:tc>
        <w:tc>
          <w:tcPr>
            <w:tcW w:w="0" w:type="auto"/>
          </w:tcPr>
          <w:p w:rsidR="00335A2E" w:rsidRPr="00335A2E" w:rsidRDefault="00993CC7" w:rsidP="00211C73">
            <w:pPr>
              <w:jc w:val="center"/>
              <w:rPr>
                <w:noProof/>
                <w:sz w:val="18"/>
                <w:szCs w:val="18"/>
                <w:lang w:eastAsia="en-GB"/>
              </w:rPr>
            </w:pPr>
            <w:r>
              <w:rPr>
                <w:noProof/>
                <w:sz w:val="18"/>
                <w:szCs w:val="18"/>
                <w:lang w:eastAsia="en-GB"/>
              </w:rPr>
              <w:t>43.0497</w:t>
            </w:r>
          </w:p>
        </w:tc>
      </w:tr>
    </w:tbl>
    <w:p w:rsidR="00EC00E7" w:rsidRDefault="00EC00E7" w:rsidP="001B031B">
      <w:pPr>
        <w:rPr>
          <w:noProof/>
          <w:lang w:eastAsia="en-GB"/>
        </w:rPr>
      </w:pPr>
    </w:p>
    <w:p w:rsidR="00EC00E7" w:rsidRDefault="00C50BE9" w:rsidP="001B031B">
      <w:pPr>
        <w:rPr>
          <w:noProof/>
          <w:lang w:eastAsia="en-GB"/>
        </w:rPr>
      </w:pPr>
      <w:r>
        <w:rPr>
          <w:noProof/>
          <w:lang w:eastAsia="en-GB"/>
        </w:rPr>
        <w:t xml:space="preserve">In </w:t>
      </w:r>
      <w:r w:rsidR="00F32735">
        <w:rPr>
          <w:noProof/>
          <w:lang w:eastAsia="en-GB"/>
        </w:rPr>
        <w:t xml:space="preserve">Section </w:t>
      </w:r>
      <w:r w:rsidR="00935A97">
        <w:rPr>
          <w:noProof/>
          <w:lang w:eastAsia="en-GB"/>
        </w:rPr>
        <w:fldChar w:fldCharType="begin"/>
      </w:r>
      <w:r w:rsidR="00F32735">
        <w:rPr>
          <w:noProof/>
          <w:lang w:eastAsia="en-GB"/>
        </w:rPr>
        <w:instrText xml:space="preserve"> REF _Ref25225469 \r \h </w:instrText>
      </w:r>
      <w:r w:rsidR="00935A97">
        <w:rPr>
          <w:noProof/>
          <w:lang w:eastAsia="en-GB"/>
        </w:rPr>
      </w:r>
      <w:r w:rsidR="00935A97">
        <w:rPr>
          <w:noProof/>
          <w:lang w:eastAsia="en-GB"/>
        </w:rPr>
        <w:fldChar w:fldCharType="separate"/>
      </w:r>
      <w:r w:rsidR="00F32735">
        <w:rPr>
          <w:noProof/>
          <w:lang w:eastAsia="en-GB"/>
        </w:rPr>
        <w:t>2</w:t>
      </w:r>
      <w:r w:rsidR="00935A97">
        <w:rPr>
          <w:noProof/>
          <w:lang w:eastAsia="en-GB"/>
        </w:rPr>
        <w:fldChar w:fldCharType="end"/>
      </w:r>
      <w:r>
        <w:rPr>
          <w:noProof/>
          <w:lang w:eastAsia="en-GB"/>
        </w:rPr>
        <w:t xml:space="preserve"> we present </w:t>
      </w:r>
      <w:r w:rsidR="00A44607">
        <w:rPr>
          <w:noProof/>
          <w:lang w:eastAsia="en-GB"/>
        </w:rPr>
        <w:t xml:space="preserve">the description of the different methods to estimate VaR and ES </w:t>
      </w:r>
      <w:r w:rsidR="00D9600C">
        <w:rPr>
          <w:noProof/>
          <w:lang w:eastAsia="en-GB"/>
        </w:rPr>
        <w:t>as well as the methodology to quantify empirical confidence intervals</w:t>
      </w:r>
      <w:r>
        <w:rPr>
          <w:noProof/>
          <w:lang w:eastAsia="en-GB"/>
        </w:rPr>
        <w:t>. The results obtained are presented</w:t>
      </w:r>
      <w:r w:rsidR="00D9600C">
        <w:rPr>
          <w:noProof/>
          <w:lang w:eastAsia="en-GB"/>
        </w:rPr>
        <w:t xml:space="preserve"> </w:t>
      </w:r>
      <w:r w:rsidR="00A44607">
        <w:rPr>
          <w:noProof/>
          <w:lang w:eastAsia="en-GB"/>
        </w:rPr>
        <w:t xml:space="preserve">in Section 3, where we discuss </w:t>
      </w:r>
      <w:r w:rsidR="00C970D0">
        <w:rPr>
          <w:noProof/>
          <w:lang w:eastAsia="en-GB"/>
        </w:rPr>
        <w:t xml:space="preserve">also </w:t>
      </w:r>
      <w:r w:rsidR="00A44607">
        <w:rPr>
          <w:noProof/>
          <w:lang w:eastAsia="en-GB"/>
        </w:rPr>
        <w:t xml:space="preserve">the implications of our findings. Finally, </w:t>
      </w:r>
      <w:r w:rsidR="002D71DE">
        <w:rPr>
          <w:noProof/>
          <w:lang w:eastAsia="en-GB"/>
        </w:rPr>
        <w:t>Section 4 summarizes the conclusions of our study on risk measures applied to portfolios of cryptocurrencies.</w:t>
      </w:r>
    </w:p>
    <w:p w:rsidR="001B031B" w:rsidRDefault="00E546CF" w:rsidP="001B031B">
      <w:pPr>
        <w:pStyle w:val="Titre2"/>
        <w:numPr>
          <w:ilvl w:val="0"/>
          <w:numId w:val="3"/>
        </w:numPr>
      </w:pPr>
      <w:bookmarkStart w:id="7" w:name="_Ref25225469"/>
      <w:bookmarkStart w:id="8" w:name="_Toc25585439"/>
      <w:r>
        <w:t>Estimation m</w:t>
      </w:r>
      <w:r w:rsidR="001B031B">
        <w:t>ethods</w:t>
      </w:r>
      <w:bookmarkEnd w:id="7"/>
      <w:bookmarkEnd w:id="8"/>
    </w:p>
    <w:p w:rsidR="00CC0721" w:rsidRDefault="00CC0721" w:rsidP="00CC0721">
      <w:pPr>
        <w:pStyle w:val="Titre3"/>
        <w:numPr>
          <w:ilvl w:val="1"/>
          <w:numId w:val="3"/>
        </w:numPr>
      </w:pPr>
      <w:bookmarkStart w:id="9" w:name="_Toc25585440"/>
      <w:r>
        <w:t>Gaussian approximation</w:t>
      </w:r>
      <w:bookmarkEnd w:id="9"/>
    </w:p>
    <w:p w:rsidR="00B70749" w:rsidRDefault="00A41CE5" w:rsidP="00372977">
      <w:r>
        <w:t>The Gaussian approximation postulates that the distribution</w:t>
      </w:r>
      <w:r w:rsidR="000C54C2">
        <w:t>s</w:t>
      </w:r>
      <w:r>
        <w:t xml:space="preserve"> of returns</w:t>
      </w:r>
      <w:r w:rsidR="000C54C2">
        <w:t xml:space="preserve"> </w:t>
      </w:r>
      <w:r w:rsidR="00386EBD">
        <w:t>are Normal</w:t>
      </w:r>
      <w:r w:rsidR="00D145CC">
        <w:t>. Although this assumption has far-reaching consequences in terms of risk estim</w:t>
      </w:r>
      <w:r w:rsidR="00E323BB">
        <w:t>ation,</w:t>
      </w:r>
      <w:r w:rsidR="00D145CC">
        <w:t xml:space="preserve"> </w:t>
      </w:r>
      <w:r w:rsidR="0032252F">
        <w:t>the Normality assumption is often made</w:t>
      </w:r>
      <w:r w:rsidR="00A8371A">
        <w:t xml:space="preserve"> (i)</w:t>
      </w:r>
      <w:r w:rsidR="00D145CC">
        <w:t xml:space="preserve"> because it </w:t>
      </w:r>
      <w:r w:rsidR="00386EBD">
        <w:t xml:space="preserve">allows for a </w:t>
      </w:r>
      <w:r w:rsidR="00D145CC">
        <w:t xml:space="preserve">simple </w:t>
      </w:r>
      <w:r w:rsidR="00386EBD">
        <w:t xml:space="preserve">calculation of VaR and ES </w:t>
      </w:r>
      <w:r w:rsidR="00A8371A">
        <w:t>and</w:t>
      </w:r>
      <w:r w:rsidR="00386EBD">
        <w:t xml:space="preserve"> </w:t>
      </w:r>
      <w:r w:rsidR="00A8371A">
        <w:t>(ii)</w:t>
      </w:r>
      <w:r w:rsidR="00D145CC">
        <w:t xml:space="preserve"> because </w:t>
      </w:r>
      <w:r w:rsidR="00A8371A">
        <w:t>it</w:t>
      </w:r>
      <w:r w:rsidR="00386EBD">
        <w:t xml:space="preserve"> </w:t>
      </w:r>
      <w:r w:rsidR="00D145CC">
        <w:t>is used as a reference for more advanced estimation methods.</w:t>
      </w:r>
      <w:r w:rsidR="003D2175">
        <w:t xml:space="preserve"> </w:t>
      </w:r>
      <w:r w:rsidR="00A8371A">
        <w:t>In</w:t>
      </w:r>
      <w:r w:rsidR="003D2175">
        <w:t xml:space="preserve"> respect to a portfolio of cryptocurrenci</w:t>
      </w:r>
      <w:r w:rsidR="00E323BB">
        <w:t xml:space="preserve">es, it is </w:t>
      </w:r>
      <w:r w:rsidR="00A8371A">
        <w:t>obvious</w:t>
      </w:r>
      <w:r w:rsidR="00E323BB">
        <w:t xml:space="preserve"> that the N</w:t>
      </w:r>
      <w:r w:rsidR="003D2175">
        <w:t xml:space="preserve">ormality assumption does not </w:t>
      </w:r>
      <w:r w:rsidR="0032252F">
        <w:t>h</w:t>
      </w:r>
      <w:r w:rsidR="003D2175">
        <w:t xml:space="preserve">old by </w:t>
      </w:r>
      <w:r w:rsidR="00E323BB">
        <w:t xml:space="preserve">simply </w:t>
      </w:r>
      <w:r w:rsidR="003D2175">
        <w:t>looking</w:t>
      </w:r>
      <w:r w:rsidR="00D145CC">
        <w:t xml:space="preserve"> </w:t>
      </w:r>
      <w:r w:rsidR="003D2175">
        <w:t>at the values of</w:t>
      </w:r>
      <w:r w:rsidR="00060C2C">
        <w:t xml:space="preserve"> skewness and kurtosis in </w:t>
      </w:r>
      <w:r w:rsidR="00935A97">
        <w:fldChar w:fldCharType="begin"/>
      </w:r>
      <w:r w:rsidR="00060C2C">
        <w:instrText xml:space="preserve"> REF _Ref26559718 \h </w:instrText>
      </w:r>
      <w:r w:rsidR="00935A97">
        <w:fldChar w:fldCharType="separate"/>
      </w:r>
      <w:r w:rsidR="00060C2C">
        <w:t xml:space="preserve">Table </w:t>
      </w:r>
      <w:r w:rsidR="00060C2C">
        <w:rPr>
          <w:noProof/>
        </w:rPr>
        <w:t>2</w:t>
      </w:r>
      <w:r w:rsidR="00935A97">
        <w:fldChar w:fldCharType="end"/>
      </w:r>
      <w:r w:rsidR="003D2175">
        <w:t>.</w:t>
      </w:r>
    </w:p>
    <w:p w:rsidR="009E73AD" w:rsidRDefault="00AC0B24" w:rsidP="00372977">
      <w:r>
        <w:t xml:space="preserve">If the Gaussian approximation for returns is used, we can </w:t>
      </w:r>
      <w:r w:rsidR="00531E59">
        <w:t>estimate</w:t>
      </w:r>
      <w:r>
        <w:t xml:space="preserve"> </w:t>
      </w:r>
      <w:r w:rsidR="001D726B">
        <w:t xml:space="preserve">the </w:t>
      </w:r>
      <w:r>
        <w:t xml:space="preserve">VaR and </w:t>
      </w:r>
      <w:r w:rsidR="001D726B">
        <w:t xml:space="preserve">the </w:t>
      </w:r>
      <w:r>
        <w:t xml:space="preserve">ES </w:t>
      </w:r>
      <w:r w:rsidR="00F3684B">
        <w:t xml:space="preserve">using </w:t>
      </w:r>
      <w:r w:rsidR="00935A97">
        <w:fldChar w:fldCharType="begin"/>
      </w:r>
      <w:r w:rsidR="00F3684B">
        <w:instrText xml:space="preserve"> REF _Ref26560361 \h </w:instrText>
      </w:r>
      <w:r w:rsidR="00935A97">
        <w:fldChar w:fldCharType="separate"/>
      </w:r>
      <w:r w:rsidR="00F3684B">
        <w:t xml:space="preserve">Equation </w:t>
      </w:r>
      <w:r w:rsidR="00F3684B">
        <w:rPr>
          <w:noProof/>
        </w:rPr>
        <w:t>3</w:t>
      </w:r>
      <w:r w:rsidR="00935A97">
        <w:fldChar w:fldCharType="end"/>
      </w:r>
      <w:r>
        <w:t xml:space="preserve"> and </w:t>
      </w:r>
      <w:r w:rsidR="00935A97">
        <w:fldChar w:fldCharType="begin"/>
      </w:r>
      <w:r w:rsidR="00F3684B">
        <w:instrText xml:space="preserve"> REF _Ref26560376 \h </w:instrText>
      </w:r>
      <w:r w:rsidR="00935A97">
        <w:fldChar w:fldCharType="separate"/>
      </w:r>
      <w:r w:rsidR="00F3684B">
        <w:t xml:space="preserve">Equation </w:t>
      </w:r>
      <w:r w:rsidR="00F3684B">
        <w:rPr>
          <w:noProof/>
        </w:rPr>
        <w:t>4</w:t>
      </w:r>
      <w:r w:rsidR="00935A97">
        <w:fldChar w:fldCharType="end"/>
      </w:r>
      <w:r w:rsidR="001923AE">
        <w:t xml:space="preserve"> </w:t>
      </w:r>
      <w:sdt>
        <w:sdtPr>
          <w:id w:val="586449782"/>
          <w:citation/>
        </w:sdtPr>
        <w:sdtContent>
          <w:r w:rsidR="00935A97">
            <w:fldChar w:fldCharType="begin"/>
          </w:r>
          <w:r w:rsidR="001923AE" w:rsidRPr="001923AE">
            <w:rPr>
              <w:lang w:val="en-US"/>
            </w:rPr>
            <w:instrText xml:space="preserve"> CITATION Jor06 \l 1040 </w:instrText>
          </w:r>
          <w:r w:rsidR="00935A97">
            <w:fldChar w:fldCharType="separate"/>
          </w:r>
          <w:r w:rsidR="006E4597" w:rsidRPr="006E4597">
            <w:rPr>
              <w:noProof/>
              <w:lang w:val="en-US"/>
            </w:rPr>
            <w:t>[1]</w:t>
          </w:r>
          <w:r w:rsidR="00935A97">
            <w:fldChar w:fldCharType="end"/>
          </w:r>
        </w:sdtContent>
      </w:sdt>
      <w:r>
        <w:t>.</w:t>
      </w:r>
    </w:p>
    <w:p w:rsidR="0032252F" w:rsidRDefault="00935A97" w:rsidP="00372977">
      <w:pPr>
        <w:rPr>
          <w:rFonts w:eastAsiaTheme="minorEastAsia"/>
        </w:rPr>
      </w:pPr>
      <m:oMathPara>
        <m:oMath>
          <m:acc>
            <m:accPr>
              <m:ctrlPr>
                <w:rPr>
                  <w:rFonts w:ascii="Cambria Math" w:hAnsi="Cambria Math"/>
                  <w:i/>
                </w:rPr>
              </m:ctrlPr>
            </m:accPr>
            <m:e>
              <m:r>
                <w:rPr>
                  <w:rFonts w:ascii="Cambria Math" w:hAnsi="Cambria Math"/>
                </w:rPr>
                <m:t>VaR</m:t>
              </m:r>
            </m:e>
          </m:acc>
          <m:d>
            <m:dPr>
              <m:ctrlPr>
                <w:rPr>
                  <w:rFonts w:ascii="Cambria Math" w:hAnsi="Cambria Math"/>
                  <w:i/>
                </w:rPr>
              </m:ctrlPr>
            </m:dPr>
            <m:e>
              <m:r>
                <w:rPr>
                  <w:rFonts w:ascii="Cambria Math" w:hAnsi="Cambria Math"/>
                </w:rPr>
                <m:t>a,α</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acc>
            <m:accPr>
              <m:ctrlPr>
                <w:rPr>
                  <w:rFonts w:ascii="Cambria Math" w:hAnsi="Cambria Math"/>
                  <w:i/>
                </w:rPr>
              </m:ctrlPr>
            </m:accPr>
            <m:e>
              <m:r>
                <w:rPr>
                  <w:rFonts w:ascii="Cambria Math" w:hAnsi="Cambria Math"/>
                </w:rPr>
                <m:t>μ</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acc>
                    <m:accPr>
                      <m:ctrlPr>
                        <w:rPr>
                          <w:rFonts w:ascii="Cambria Math" w:hAnsi="Cambria Math"/>
                        </w:rPr>
                      </m:ctrlPr>
                    </m:accPr>
                    <m:e>
                      <m:r>
                        <m:rPr>
                          <m:sty m:val="p"/>
                        </m:rPr>
                        <w:rPr>
                          <w:rFonts w:ascii="Cambria Math" w:hAnsi="Cambria Math"/>
                        </w:rPr>
                        <m:t>Σ</m:t>
                      </m:r>
                    </m:e>
                  </m:acc>
                  <m:r>
                    <w:rPr>
                      <w:rFonts w:ascii="Cambria Math" w:hAnsi="Cambria Math"/>
                    </w:rPr>
                    <m:t>a</m:t>
                  </m:r>
                </m:e>
              </m:d>
            </m:e>
            <m:sup>
              <m:r>
                <w:rPr>
                  <w:rFonts w:ascii="Cambria Math" w:hAnsi="Cambria Math"/>
                </w:rPr>
                <m:t>1/2</m:t>
              </m:r>
            </m:sup>
          </m:sSup>
          <m:sSub>
            <m:sSubPr>
              <m:ctrlPr>
                <w:rPr>
                  <w:rFonts w:ascii="Cambria Math" w:hAnsi="Cambria Math"/>
                  <w:i/>
                </w:rPr>
              </m:ctrlPr>
            </m:sSubPr>
            <m:e>
              <m:r>
                <w:rPr>
                  <w:rFonts w:ascii="Cambria Math" w:hAnsi="Cambria Math"/>
                </w:rPr>
                <m:t>z</m:t>
              </m:r>
            </m:e>
            <m:sub>
              <m:r>
                <w:rPr>
                  <w:rFonts w:ascii="Cambria Math" w:hAnsi="Cambria Math"/>
                </w:rPr>
                <m:t>1-α</m:t>
              </m:r>
            </m:sub>
          </m:sSub>
        </m:oMath>
      </m:oMathPara>
    </w:p>
    <w:p w:rsidR="001923AE" w:rsidRDefault="00E90C2F" w:rsidP="00E90C2F">
      <w:pPr>
        <w:pStyle w:val="Lgende"/>
        <w:jc w:val="center"/>
        <w:rPr>
          <w:rFonts w:eastAsiaTheme="minorEastAsia"/>
        </w:rPr>
      </w:pPr>
      <w:bookmarkStart w:id="10" w:name="_Ref26560361"/>
      <w:r>
        <w:t xml:space="preserve">Equation </w:t>
      </w:r>
      <w:fldSimple w:instr=" SEQ Équation \* ARABIC ">
        <w:r w:rsidR="00A1413E">
          <w:rPr>
            <w:noProof/>
          </w:rPr>
          <w:t>3</w:t>
        </w:r>
      </w:fldSimple>
      <w:bookmarkEnd w:id="10"/>
      <w:r>
        <w:t xml:space="preserve">. </w:t>
      </w:r>
      <w:r w:rsidR="001923AE">
        <w:t>Estimation of VaR using the Gaussian hypothesis.</w:t>
      </w:r>
    </w:p>
    <w:p w:rsidR="00531E59" w:rsidRDefault="00935A97" w:rsidP="001923AE">
      <w:pPr>
        <w:jc w:val="center"/>
        <w:rPr>
          <w:rFonts w:eastAsiaTheme="minorEastAsia"/>
        </w:rPr>
      </w:pPr>
      <m:oMathPara>
        <m:oMath>
          <m:acc>
            <m:accPr>
              <m:ctrlPr>
                <w:rPr>
                  <w:rFonts w:ascii="Cambria Math" w:hAnsi="Cambria Math"/>
                  <w:i/>
                </w:rPr>
              </m:ctrlPr>
            </m:accPr>
            <m:e>
              <m:r>
                <w:rPr>
                  <w:rFonts w:ascii="Cambria Math" w:hAnsi="Cambria Math"/>
                </w:rPr>
                <m:t>ES</m:t>
              </m:r>
            </m:e>
          </m:acc>
          <m:d>
            <m:dPr>
              <m:ctrlPr>
                <w:rPr>
                  <w:rFonts w:ascii="Cambria Math" w:hAnsi="Cambria Math"/>
                  <w:i/>
                </w:rPr>
              </m:ctrlPr>
            </m:dPr>
            <m:e>
              <m:r>
                <w:rPr>
                  <w:rFonts w:ascii="Cambria Math" w:hAnsi="Cambria Math"/>
                </w:rPr>
                <m:t>a,α</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acc>
            <m:accPr>
              <m:ctrlPr>
                <w:rPr>
                  <w:rFonts w:ascii="Cambria Math" w:hAnsi="Cambria Math"/>
                  <w:i/>
                </w:rPr>
              </m:ctrlPr>
            </m:accPr>
            <m:e>
              <m:r>
                <w:rPr>
                  <w:rFonts w:ascii="Cambria Math" w:hAnsi="Cambria Math"/>
                </w:rPr>
                <m:t>μ</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acc>
                    <m:accPr>
                      <m:ctrlPr>
                        <w:rPr>
                          <w:rFonts w:ascii="Cambria Math" w:hAnsi="Cambria Math"/>
                        </w:rPr>
                      </m:ctrlPr>
                    </m:accPr>
                    <m:e>
                      <m:r>
                        <m:rPr>
                          <m:sty m:val="p"/>
                        </m:rPr>
                        <w:rPr>
                          <w:rFonts w:ascii="Cambria Math" w:hAnsi="Cambria Math"/>
                        </w:rPr>
                        <m:t>Σ</m:t>
                      </m:r>
                    </m:e>
                  </m:acc>
                  <m:r>
                    <w:rPr>
                      <w:rFonts w:ascii="Cambria Math" w:hAnsi="Cambria Math"/>
                    </w:rPr>
                    <m:t>a</m:t>
                  </m:r>
                </m:e>
              </m:d>
            </m:e>
            <m:sup>
              <m:r>
                <w:rPr>
                  <w:rFonts w:ascii="Cambria Math" w:hAnsi="Cambria Math"/>
                </w:rPr>
                <m:t>1/2</m:t>
              </m:r>
            </m:sup>
          </m:sSup>
          <m:sSub>
            <m:sSubPr>
              <m:ctrlPr>
                <w:rPr>
                  <w:rFonts w:ascii="Cambria Math" w:hAnsi="Cambria Math"/>
                  <w:i/>
                </w:rPr>
              </m:ctrlPr>
            </m:sSubPr>
            <m:e>
              <m:r>
                <w:rPr>
                  <w:rFonts w:ascii="Cambria Math" w:hAnsi="Cambria Math"/>
                </w:rPr>
                <m:t>φ(z</m:t>
              </m:r>
            </m:e>
            <m:sub>
              <m:r>
                <w:rPr>
                  <w:rFonts w:ascii="Cambria Math" w:hAnsi="Cambria Math"/>
                </w:rPr>
                <m:t>1-α</m:t>
              </m:r>
            </m:sub>
          </m:sSub>
          <m:r>
            <w:rPr>
              <w:rFonts w:ascii="Cambria Math" w:hAnsi="Cambria Math"/>
            </w:rPr>
            <m:t>)/α</m:t>
          </m:r>
        </m:oMath>
      </m:oMathPara>
    </w:p>
    <w:p w:rsidR="001923AE" w:rsidRDefault="00E90C2F" w:rsidP="00E90C2F">
      <w:pPr>
        <w:pStyle w:val="Lgende"/>
        <w:jc w:val="center"/>
        <w:rPr>
          <w:rFonts w:eastAsiaTheme="minorEastAsia"/>
        </w:rPr>
      </w:pPr>
      <w:bookmarkStart w:id="11" w:name="_Ref26560376"/>
      <w:r>
        <w:t xml:space="preserve">Equation </w:t>
      </w:r>
      <w:fldSimple w:instr=" SEQ Équation \* ARABIC ">
        <w:r w:rsidR="00A1413E">
          <w:rPr>
            <w:noProof/>
          </w:rPr>
          <w:t>4</w:t>
        </w:r>
      </w:fldSimple>
      <w:bookmarkEnd w:id="11"/>
      <w:r>
        <w:t xml:space="preserve">. </w:t>
      </w:r>
      <w:r w:rsidR="001923AE">
        <w:t>Estimation of ES using the Gaussian hypothesis.</w:t>
      </w:r>
    </w:p>
    <w:p w:rsidR="00372977" w:rsidRPr="00531E59" w:rsidRDefault="00531E59" w:rsidP="00372977">
      <w:r>
        <w:t xml:space="preserve">In the previous equations </w:t>
      </w:r>
      <w:r>
        <w:rPr>
          <w:i/>
        </w:rPr>
        <w:t>a</w:t>
      </w:r>
      <w:r>
        <w:t xml:space="preserve"> is the portfolio allocation vector, </w:t>
      </w:r>
      <m:oMath>
        <m:acc>
          <m:accPr>
            <m:ctrlPr>
              <w:rPr>
                <w:rFonts w:ascii="Cambria Math" w:hAnsi="Cambria Math"/>
                <w:i/>
              </w:rPr>
            </m:ctrlPr>
          </m:accPr>
          <m:e>
            <m:r>
              <w:rPr>
                <w:rFonts w:ascii="Cambria Math" w:hAnsi="Cambria Math"/>
              </w:rPr>
              <m:t>μ</m:t>
            </m:r>
          </m:e>
        </m:acc>
      </m:oMath>
      <w:r>
        <w:rPr>
          <w:rFonts w:eastAsiaTheme="minorEastAsia"/>
        </w:rPr>
        <w:t xml:space="preserve"> represents the estimated mean return vector, </w:t>
      </w:r>
      <m:oMath>
        <m:acc>
          <m:accPr>
            <m:ctrlPr>
              <w:rPr>
                <w:rFonts w:ascii="Cambria Math" w:hAnsi="Cambria Math"/>
              </w:rPr>
            </m:ctrlPr>
          </m:accPr>
          <m:e>
            <m:r>
              <m:rPr>
                <m:sty m:val="p"/>
              </m:rPr>
              <w:rPr>
                <w:rFonts w:ascii="Cambria Math" w:hAnsi="Cambria Math"/>
              </w:rPr>
              <m:t>Σ</m:t>
            </m:r>
          </m:e>
        </m:acc>
      </m:oMath>
      <w:r>
        <w:rPr>
          <w:rFonts w:eastAsiaTheme="minorEastAsia"/>
        </w:rPr>
        <w:t xml:space="preserve"> is the variance-covariance matrix of the portfolio returns, </w:t>
      </w:r>
      <m:oMath>
        <m:sSub>
          <m:sSubPr>
            <m:ctrlPr>
              <w:rPr>
                <w:rFonts w:ascii="Cambria Math" w:hAnsi="Cambria Math"/>
                <w:i/>
              </w:rPr>
            </m:ctrlPr>
          </m:sSubPr>
          <m:e>
            <m:r>
              <w:rPr>
                <w:rFonts w:ascii="Cambria Math" w:hAnsi="Cambria Math"/>
              </w:rPr>
              <m:t>z</m:t>
            </m:r>
          </m:e>
          <m:sub>
            <m:r>
              <w:rPr>
                <w:rFonts w:ascii="Cambria Math" w:hAnsi="Cambria Math"/>
              </w:rPr>
              <m:t>1-α</m:t>
            </m:r>
          </m:sub>
        </m:sSub>
      </m:oMath>
      <w:r>
        <w:rPr>
          <w:rFonts w:eastAsiaTheme="minorEastAsia"/>
        </w:rPr>
        <w:t xml:space="preserve"> is the quantile of the standard normal distribution at the level </w:t>
      </w:r>
      <m:oMath>
        <m:r>
          <w:rPr>
            <w:rFonts w:ascii="Cambria Math" w:hAnsi="Cambria Math"/>
          </w:rPr>
          <m:t>1-α</m:t>
        </m:r>
      </m:oMath>
      <w:r w:rsidR="001D726B">
        <w:rPr>
          <w:rFonts w:eastAsiaTheme="minorEastAsia"/>
        </w:rPr>
        <w:t xml:space="preserve"> and </w:t>
      </w:r>
      <m:oMath>
        <m:sSub>
          <m:sSubPr>
            <m:ctrlPr>
              <w:rPr>
                <w:rFonts w:ascii="Cambria Math" w:hAnsi="Cambria Math"/>
                <w:i/>
              </w:rPr>
            </m:ctrlPr>
          </m:sSubPr>
          <m:e>
            <m:r>
              <w:rPr>
                <w:rFonts w:ascii="Cambria Math" w:hAnsi="Cambria Math"/>
              </w:rPr>
              <m:t>φ(z</m:t>
            </m:r>
          </m:e>
          <m:sub>
            <m:r>
              <w:rPr>
                <w:rFonts w:ascii="Cambria Math" w:hAnsi="Cambria Math"/>
              </w:rPr>
              <m:t>1-α</m:t>
            </m:r>
          </m:sub>
        </m:sSub>
        <m:r>
          <w:rPr>
            <w:rFonts w:ascii="Cambria Math" w:hAnsi="Cambria Math"/>
          </w:rPr>
          <m:t>)</m:t>
        </m:r>
      </m:oMath>
      <w:r w:rsidR="001D726B">
        <w:rPr>
          <w:rFonts w:eastAsiaTheme="minorEastAsia"/>
        </w:rPr>
        <w:t xml:space="preserve"> is the value that the normal density function takes at </w:t>
      </w:r>
      <m:oMath>
        <m:sSub>
          <m:sSubPr>
            <m:ctrlPr>
              <w:rPr>
                <w:rFonts w:ascii="Cambria Math" w:hAnsi="Cambria Math"/>
                <w:i/>
              </w:rPr>
            </m:ctrlPr>
          </m:sSubPr>
          <m:e>
            <m:r>
              <w:rPr>
                <w:rFonts w:ascii="Cambria Math" w:hAnsi="Cambria Math"/>
              </w:rPr>
              <m:t>z</m:t>
            </m:r>
          </m:e>
          <m:sub>
            <m:r>
              <w:rPr>
                <w:rFonts w:ascii="Cambria Math" w:hAnsi="Cambria Math"/>
              </w:rPr>
              <m:t>1-α</m:t>
            </m:r>
          </m:sub>
        </m:sSub>
      </m:oMath>
      <w:r w:rsidR="001D726B">
        <w:rPr>
          <w:rFonts w:eastAsiaTheme="minorEastAsia"/>
        </w:rPr>
        <w:t>.</w:t>
      </w:r>
    </w:p>
    <w:p w:rsidR="00CC0721" w:rsidRDefault="00CC0721" w:rsidP="00CF18C6">
      <w:pPr>
        <w:pStyle w:val="Titre3"/>
        <w:numPr>
          <w:ilvl w:val="1"/>
          <w:numId w:val="3"/>
        </w:numPr>
      </w:pPr>
      <w:bookmarkStart w:id="12" w:name="_Toc25585441"/>
      <w:r>
        <w:lastRenderedPageBreak/>
        <w:t>Historical data</w:t>
      </w:r>
      <w:bookmarkEnd w:id="12"/>
    </w:p>
    <w:p w:rsidR="009C3CED" w:rsidRDefault="006F7571" w:rsidP="009C3CED">
      <w:r>
        <w:t xml:space="preserve">The </w:t>
      </w:r>
      <w:r w:rsidR="006F09B0">
        <w:t xml:space="preserve">“Historical data” </w:t>
      </w:r>
      <w:r>
        <w:t xml:space="preserve">method </w:t>
      </w:r>
      <w:r w:rsidR="007C69D7">
        <w:t>consists of evaluating the portfolio losses over the period of interest, ranking the losses from the smallest to the largest and, finally, selecting the loss value corresponding to the empirical quantile of interest, usually taken to be either 5% or 1%.</w:t>
      </w:r>
      <w:r w:rsidR="00AF5B79">
        <w:t xml:space="preserve"> The empirical quantile corresponds to the estimated VaR.</w:t>
      </w:r>
      <w:r w:rsidR="00847700">
        <w:t xml:space="preserve"> As an example, </w:t>
      </w:r>
      <w:r w:rsidR="00935A97">
        <w:fldChar w:fldCharType="begin"/>
      </w:r>
      <w:r w:rsidR="00267D61">
        <w:instrText xml:space="preserve"> REF _Ref26560913 \h </w:instrText>
      </w:r>
      <w:r w:rsidR="00935A97">
        <w:fldChar w:fldCharType="separate"/>
      </w:r>
      <w:r w:rsidR="00267D61">
        <w:t xml:space="preserve">Figure </w:t>
      </w:r>
      <w:r w:rsidR="00267D61">
        <w:rPr>
          <w:noProof/>
        </w:rPr>
        <w:t>1</w:t>
      </w:r>
      <w:r w:rsidR="00935A97">
        <w:fldChar w:fldCharType="end"/>
      </w:r>
      <w:r w:rsidR="00D219C6">
        <w:t xml:space="preserve"> shows the empirical loss distribution of the </w:t>
      </w:r>
      <w:r w:rsidR="00A8371A">
        <w:t>portfolio</w:t>
      </w:r>
      <w:r w:rsidR="00D219C6">
        <w:t xml:space="preserve"> of cryptocurrenci</w:t>
      </w:r>
      <w:r w:rsidR="00267D61">
        <w:t xml:space="preserve">es described in Section </w:t>
      </w:r>
      <w:r w:rsidR="00935A97">
        <w:fldChar w:fldCharType="begin"/>
      </w:r>
      <w:r w:rsidR="00267D61">
        <w:instrText xml:space="preserve"> REF _Ref25263087 \w \h </w:instrText>
      </w:r>
      <w:r w:rsidR="00935A97">
        <w:fldChar w:fldCharType="separate"/>
      </w:r>
      <w:r w:rsidR="00267D61">
        <w:t>1</w:t>
      </w:r>
      <w:r w:rsidR="00935A97">
        <w:fldChar w:fldCharType="end"/>
      </w:r>
      <w:r w:rsidR="00D219C6">
        <w:t>. The blue and red lines locate the estimated VaR at the levels 5% and 1%.</w:t>
      </w:r>
      <w:r w:rsidR="006F09B0">
        <w:t xml:space="preserve"> </w:t>
      </w:r>
    </w:p>
    <w:p w:rsidR="00847700" w:rsidRDefault="00847700" w:rsidP="00847700">
      <w:pPr>
        <w:jc w:val="center"/>
      </w:pPr>
      <w:r>
        <w:rPr>
          <w:noProof/>
          <w:lang w:val="fr-FR" w:eastAsia="fr-FR"/>
        </w:rPr>
        <w:drawing>
          <wp:inline distT="0" distB="0" distL="0" distR="0">
            <wp:extent cx="2961640" cy="2517775"/>
            <wp:effectExtent l="19050" t="0" r="0" b="0"/>
            <wp:docPr id="6" name="Image 6" descr="C:\Users\Biagio\AppData\Local\Microsoft\Windows\INetCache\Content.Word\VaR_historical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iagio\AppData\Local\Microsoft\Windows\INetCache\Content.Word\VaR_historical_data.png"/>
                    <pic:cNvPicPr>
                      <a:picLocks noChangeAspect="1" noChangeArrowheads="1"/>
                    </pic:cNvPicPr>
                  </pic:nvPicPr>
                  <pic:blipFill>
                    <a:blip r:embed="rId8" cstate="print"/>
                    <a:srcRect/>
                    <a:stretch>
                      <a:fillRect/>
                    </a:stretch>
                  </pic:blipFill>
                  <pic:spPr bwMode="auto">
                    <a:xfrm>
                      <a:off x="0" y="0"/>
                      <a:ext cx="2961640" cy="2517775"/>
                    </a:xfrm>
                    <a:prstGeom prst="rect">
                      <a:avLst/>
                    </a:prstGeom>
                    <a:noFill/>
                    <a:ln w="9525">
                      <a:noFill/>
                      <a:miter lim="800000"/>
                      <a:headEnd/>
                      <a:tailEnd/>
                    </a:ln>
                  </pic:spPr>
                </pic:pic>
              </a:graphicData>
            </a:graphic>
          </wp:inline>
        </w:drawing>
      </w:r>
    </w:p>
    <w:p w:rsidR="00847700" w:rsidRDefault="00E90C2F" w:rsidP="00E90C2F">
      <w:pPr>
        <w:pStyle w:val="Lgende"/>
        <w:jc w:val="center"/>
      </w:pPr>
      <w:bookmarkStart w:id="13" w:name="_Ref26560913"/>
      <w:r>
        <w:t xml:space="preserve">Figure </w:t>
      </w:r>
      <w:fldSimple w:instr=" SEQ Figure \* ARABIC ">
        <w:r>
          <w:rPr>
            <w:noProof/>
          </w:rPr>
          <w:t>1</w:t>
        </w:r>
      </w:fldSimple>
      <w:bookmarkEnd w:id="13"/>
      <w:r>
        <w:t xml:space="preserve">. </w:t>
      </w:r>
      <w:r w:rsidR="00847700">
        <w:t xml:space="preserve">Empirical loss distribution </w:t>
      </w:r>
      <w:r w:rsidR="005476E3">
        <w:t xml:space="preserve">of </w:t>
      </w:r>
      <w:r w:rsidR="000B0719">
        <w:t xml:space="preserve">a </w:t>
      </w:r>
      <w:r w:rsidR="005476E3">
        <w:t xml:space="preserve">cryptocurrency portfolio, </w:t>
      </w:r>
      <w:r w:rsidR="00847700">
        <w:t xml:space="preserve">with </w:t>
      </w:r>
      <w:r w:rsidR="005476E3">
        <w:t xml:space="preserve">the </w:t>
      </w:r>
      <w:r w:rsidR="00847700">
        <w:t>VaR estimated as the empirical quantiles at the levels 5% and 1%.</w:t>
      </w:r>
    </w:p>
    <w:p w:rsidR="00847700" w:rsidRPr="009C3CED" w:rsidRDefault="00A539BA" w:rsidP="001D2679">
      <w:r>
        <w:t>O</w:t>
      </w:r>
      <w:r w:rsidR="002C63DA">
        <w:t xml:space="preserve">nce the losses </w:t>
      </w:r>
      <w:r w:rsidR="001D2679">
        <w:t xml:space="preserve">are </w:t>
      </w:r>
      <w:r w:rsidR="002C63DA">
        <w:t>ranked</w:t>
      </w:r>
      <w:r w:rsidR="006F09B0">
        <w:t xml:space="preserve"> in ascending order</w:t>
      </w:r>
      <w:r w:rsidR="002C63DA">
        <w:t xml:space="preserve"> and the VaR </w:t>
      </w:r>
      <w:r w:rsidR="001D2679">
        <w:t xml:space="preserve">is </w:t>
      </w:r>
      <w:r w:rsidR="002C63DA">
        <w:t xml:space="preserve">estimated, we can estimate the ES as the </w:t>
      </w:r>
      <w:r w:rsidR="00E8148B">
        <w:t>arithmetic mean</w:t>
      </w:r>
      <w:r w:rsidR="002C63DA">
        <w:t xml:space="preserve"> of the losses above the threshold VaR.</w:t>
      </w:r>
    </w:p>
    <w:p w:rsidR="00CF18C6" w:rsidRDefault="00CF18C6" w:rsidP="00CF18C6">
      <w:pPr>
        <w:pStyle w:val="Titre3"/>
        <w:numPr>
          <w:ilvl w:val="1"/>
          <w:numId w:val="3"/>
        </w:numPr>
      </w:pPr>
      <w:bookmarkStart w:id="14" w:name="_Toc25585442"/>
      <w:r>
        <w:t>Kernel method</w:t>
      </w:r>
      <w:bookmarkEnd w:id="14"/>
    </w:p>
    <w:p w:rsidR="00F329F4" w:rsidRDefault="00125220" w:rsidP="00F329F4">
      <w:r>
        <w:t xml:space="preserve">The kernel method is a non-parametric technique allowing us to estimate the VaR and the ES without any assumption about </w:t>
      </w:r>
      <w:r w:rsidR="00A539BA">
        <w:t xml:space="preserve">the </w:t>
      </w:r>
      <w:r>
        <w:t xml:space="preserve">distribution of the returns (or losses) of </w:t>
      </w:r>
      <w:r w:rsidR="00A539BA">
        <w:t>a</w:t>
      </w:r>
      <w:r>
        <w:t xml:space="preserve"> portfolio. </w:t>
      </w:r>
    </w:p>
    <w:p w:rsidR="00A33D85" w:rsidRDefault="00A07409" w:rsidP="00F329F4">
      <w:pPr>
        <w:rPr>
          <w:rFonts w:eastAsiaTheme="minorEastAsia"/>
        </w:rPr>
      </w:pPr>
      <w:r>
        <w:t xml:space="preserve">If we indicate with </w:t>
      </w:r>
      <m:oMath>
        <m:r>
          <w:rPr>
            <w:rFonts w:ascii="Cambria Math" w:hAnsi="Cambria Math"/>
          </w:rPr>
          <m:t>f(z)</m:t>
        </m:r>
      </m:oMath>
      <w:r>
        <w:rPr>
          <w:rFonts w:eastAsiaTheme="minorEastAsia"/>
        </w:rPr>
        <w:t xml:space="preserve"> the density of the loss distribution of our portfolio, we can rewrite </w:t>
      </w:r>
      <w:r w:rsidR="00935A97">
        <w:fldChar w:fldCharType="begin"/>
      </w:r>
      <w:r w:rsidR="00C56DCE">
        <w:rPr>
          <w:rFonts w:eastAsiaTheme="minorEastAsia"/>
        </w:rPr>
        <w:instrText xml:space="preserve"> REF _Ref26556480 \h </w:instrText>
      </w:r>
      <w:r w:rsidR="00935A97">
        <w:fldChar w:fldCharType="separate"/>
      </w:r>
      <w:r w:rsidR="00C56DCE">
        <w:t xml:space="preserve">Equation </w:t>
      </w:r>
      <w:r w:rsidR="00C56DCE">
        <w:rPr>
          <w:noProof/>
        </w:rPr>
        <w:t>1</w:t>
      </w:r>
      <w:r w:rsidR="00935A97">
        <w:fldChar w:fldCharType="end"/>
      </w:r>
      <w:r w:rsidR="00A41065">
        <w:rPr>
          <w:rFonts w:eastAsiaTheme="minorEastAsia"/>
        </w:rPr>
        <w:t xml:space="preserve"> as showed in</w:t>
      </w:r>
      <w:r>
        <w:rPr>
          <w:rFonts w:eastAsiaTheme="minorEastAsia"/>
        </w:rPr>
        <w:t xml:space="preserve"> </w:t>
      </w:r>
      <w:r>
        <w:t xml:space="preserve">Equation </w:t>
      </w:r>
      <w:r>
        <w:rPr>
          <w:noProof/>
        </w:rPr>
        <w:t>5</w:t>
      </w:r>
      <w:r>
        <w:rPr>
          <w:rFonts w:eastAsiaTheme="minorEastAsia"/>
        </w:rPr>
        <w:t>.</w:t>
      </w:r>
    </w:p>
    <w:p w:rsidR="00A07409" w:rsidRDefault="00A07409" w:rsidP="00F329F4">
      <w:pPr>
        <w:rPr>
          <w:rFonts w:eastAsiaTheme="minorEastAsia"/>
        </w:rPr>
      </w:pPr>
      <m:oMathPara>
        <m:oMath>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Loss&gt;VaR</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VaR</m:t>
              </m:r>
            </m:sub>
            <m:sup>
              <m:r>
                <w:rPr>
                  <w:rFonts w:ascii="Cambria Math" w:eastAsiaTheme="minorEastAsia" w:hAnsi="Cambria Math"/>
                </w:rPr>
                <m:t>+∞</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dz=α</m:t>
              </m:r>
            </m:e>
          </m:nary>
        </m:oMath>
      </m:oMathPara>
    </w:p>
    <w:p w:rsidR="00A07409" w:rsidRDefault="00E90C2F" w:rsidP="00E90C2F">
      <w:pPr>
        <w:pStyle w:val="Lgende"/>
        <w:jc w:val="center"/>
      </w:pPr>
      <w:r>
        <w:t xml:space="preserve">Equation </w:t>
      </w:r>
      <w:fldSimple w:instr=" SEQ Équation \* ARABIC ">
        <w:r w:rsidR="00A1413E">
          <w:rPr>
            <w:noProof/>
          </w:rPr>
          <w:t>5</w:t>
        </w:r>
      </w:fldSimple>
      <w:r>
        <w:t xml:space="preserve">. </w:t>
      </w:r>
      <w:r w:rsidR="00A07409">
        <w:t xml:space="preserve">Definition of VaR using the loss </w:t>
      </w:r>
      <w:r w:rsidR="00AB4F7C">
        <w:t xml:space="preserve">density </w:t>
      </w:r>
      <w:r w:rsidR="00A07409">
        <w:t>of the portfolio.</w:t>
      </w:r>
    </w:p>
    <w:p w:rsidR="00A33D85" w:rsidRDefault="00A07409" w:rsidP="00F329F4">
      <w:r>
        <w:t>Si</w:t>
      </w:r>
      <w:r w:rsidR="00A41065">
        <w:t>nce the true loss density</w:t>
      </w:r>
      <w:r>
        <w:t xml:space="preserve"> is unknown</w:t>
      </w:r>
      <w:r w:rsidR="00A41065">
        <w:t>,</w:t>
      </w:r>
      <w:r>
        <w:t xml:space="preserve"> we can estimate it using its kernel counterpart. For instance, the Gaussian kernel is given by </w:t>
      </w:r>
      <w:r w:rsidR="005F75E3">
        <w:t xml:space="preserve">Equation </w:t>
      </w:r>
      <w:r w:rsidR="005F75E3">
        <w:rPr>
          <w:noProof/>
        </w:rPr>
        <w:t>6</w:t>
      </w:r>
      <w:r w:rsidR="005F75E3">
        <w:t>.</w:t>
      </w:r>
    </w:p>
    <w:p w:rsidR="00A07409" w:rsidRDefault="00935A97" w:rsidP="00F329F4">
      <w:pPr>
        <w:rPr>
          <w:rFonts w:eastAsiaTheme="minorEastAsia"/>
        </w:rPr>
      </w:pPr>
      <m:oMathPara>
        <m:oMath>
          <m:nary>
            <m:naryPr>
              <m:limLoc m:val="subSup"/>
              <m:ctrlPr>
                <w:rPr>
                  <w:rFonts w:ascii="Cambria Math" w:eastAsiaTheme="minorEastAsia" w:hAnsi="Cambria Math"/>
                  <w:i/>
                </w:rPr>
              </m:ctrlPr>
            </m:naryPr>
            <m:sub>
              <m:acc>
                <m:accPr>
                  <m:ctrlPr>
                    <w:rPr>
                      <w:rFonts w:ascii="Cambria Math" w:eastAsiaTheme="minorEastAsia" w:hAnsi="Cambria Math"/>
                      <w:i/>
                    </w:rPr>
                  </m:ctrlPr>
                </m:accPr>
                <m:e>
                  <m:r>
                    <w:rPr>
                      <w:rFonts w:ascii="Cambria Math" w:eastAsiaTheme="minorEastAsia" w:hAnsi="Cambria Math"/>
                    </w:rPr>
                    <m:t>VaR</m:t>
                  </m:r>
                </m:e>
              </m:acc>
            </m:sub>
            <m:sup>
              <m:r>
                <w:rPr>
                  <w:rFonts w:ascii="Cambria Math" w:eastAsiaTheme="minorEastAsia" w:hAnsi="Cambria Math"/>
                </w:rPr>
                <m:t>+∞</m:t>
              </m:r>
            </m:sup>
            <m:e>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dz=</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T</m:t>
                  </m:r>
                </m:sup>
                <m:e>
                  <m:r>
                    <m:rPr>
                      <m:sty m:val="p"/>
                    </m:rPr>
                    <w:rPr>
                      <w:rFonts w:ascii="Cambria Math" w:eastAsiaTheme="minorEastAsia" w:hAnsi="Cambria Math"/>
                    </w:rPr>
                    <m:t>Φ</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VaR</m:t>
                              </m:r>
                            </m:e>
                          </m:acc>
                        </m:num>
                        <m:den>
                          <m:r>
                            <w:rPr>
                              <w:rFonts w:ascii="Cambria Math" w:eastAsiaTheme="minorEastAsia" w:hAnsi="Cambria Math"/>
                            </w:rPr>
                            <m:t>h</m:t>
                          </m:r>
                        </m:den>
                      </m:f>
                    </m:e>
                  </m:d>
                </m:e>
              </m:nary>
            </m:e>
          </m:nary>
        </m:oMath>
      </m:oMathPara>
    </w:p>
    <w:p w:rsidR="00891544" w:rsidRPr="005F75E3" w:rsidRDefault="00E90C2F" w:rsidP="00E90C2F">
      <w:pPr>
        <w:pStyle w:val="Lgende"/>
        <w:jc w:val="center"/>
        <w:rPr>
          <w:lang w:val="en-US"/>
        </w:rPr>
      </w:pPr>
      <w:bookmarkStart w:id="15" w:name="_Ref26561326"/>
      <w:r>
        <w:t xml:space="preserve">Equation </w:t>
      </w:r>
      <w:fldSimple w:instr=" SEQ Équation \* ARABIC ">
        <w:r w:rsidR="00A1413E">
          <w:rPr>
            <w:noProof/>
          </w:rPr>
          <w:t>6</w:t>
        </w:r>
      </w:fldSimple>
      <w:bookmarkEnd w:id="15"/>
      <w:r>
        <w:t xml:space="preserve">. </w:t>
      </w:r>
      <w:r w:rsidR="005F75E3" w:rsidRPr="005F75E3">
        <w:rPr>
          <w:lang w:val="en-US"/>
        </w:rPr>
        <w:t>Gaussian kernel for non-parametric estimation of</w:t>
      </w:r>
      <w:r w:rsidR="005F75E3">
        <w:rPr>
          <w:lang w:val="en-US"/>
        </w:rPr>
        <w:t xml:space="preserve"> VaR.</w:t>
      </w:r>
    </w:p>
    <w:p w:rsidR="00A33D85" w:rsidRDefault="00BD1583" w:rsidP="00F329F4">
      <w:pPr>
        <w:rPr>
          <w:rFonts w:eastAsiaTheme="minorEastAsia"/>
        </w:rPr>
      </w:pPr>
      <w:r>
        <w:rPr>
          <w:lang w:val="en-US"/>
        </w:rPr>
        <w:t xml:space="preserve">In </w:t>
      </w:r>
      <w:r>
        <w:t xml:space="preserve">Equation </w:t>
      </w:r>
      <w:r>
        <w:rPr>
          <w:noProof/>
        </w:rPr>
        <w:t>6</w:t>
      </w:r>
      <w:r>
        <w:rPr>
          <w:lang w:val="en-US"/>
        </w:rPr>
        <w:t xml:space="preserve">, </w:t>
      </w:r>
      <w:r w:rsidRPr="00C56DCE">
        <w:rPr>
          <w:i/>
          <w:lang w:val="en-US"/>
        </w:rPr>
        <w:t>T</w:t>
      </w:r>
      <w:r>
        <w:rPr>
          <w:lang w:val="en-US"/>
        </w:rPr>
        <w:t xml:space="preserve"> represents the time span of the data collected</w:t>
      </w:r>
      <w:r w:rsidR="00A41065">
        <w:rPr>
          <w:lang w:val="en-US"/>
        </w:rPr>
        <w:t xml:space="preserve"> (</w:t>
      </w:r>
      <w:r w:rsidR="00AB4F7C">
        <w:rPr>
          <w:lang w:val="en-US"/>
        </w:rPr>
        <w:t>equals</w:t>
      </w:r>
      <w:r w:rsidR="00A41065">
        <w:rPr>
          <w:lang w:val="en-US"/>
        </w:rPr>
        <w:t xml:space="preserve"> to the number of observations)</w:t>
      </w:r>
      <w:r>
        <w:rPr>
          <w:lang w:val="en-US"/>
        </w:rPr>
        <w:t xml:space="preserve">, </w:t>
      </w:r>
      <m:oMath>
        <m:r>
          <m:rPr>
            <m:sty m:val="p"/>
          </m:rPr>
          <w:rPr>
            <w:rFonts w:ascii="Cambria Math" w:eastAsiaTheme="minorEastAsia" w:hAnsi="Cambria Math"/>
          </w:rPr>
          <m:t>Φ</m:t>
        </m:r>
      </m:oMath>
      <w:r>
        <w:rPr>
          <w:rFonts w:eastAsiaTheme="minorEastAsia"/>
        </w:rPr>
        <w:t xml:space="preserve"> indicates the normal cumulative distribution function,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oMath>
      <w:r>
        <w:rPr>
          <w:rFonts w:eastAsiaTheme="minorEastAsia"/>
        </w:rPr>
        <w:t xml:space="preserve"> is the portfolio loss at time </w:t>
      </w:r>
      <m:oMath>
        <m:r>
          <w:rPr>
            <w:rFonts w:ascii="Cambria Math" w:eastAsiaTheme="minorEastAsia" w:hAnsi="Cambria Math"/>
          </w:rPr>
          <m:t>t</m:t>
        </m:r>
      </m:oMath>
      <w:r>
        <w:rPr>
          <w:rFonts w:eastAsiaTheme="minorEastAsia"/>
        </w:rPr>
        <w:t xml:space="preserve">, </w:t>
      </w:r>
      <m:oMath>
        <m:acc>
          <m:accPr>
            <m:ctrlPr>
              <w:rPr>
                <w:rFonts w:ascii="Cambria Math" w:eastAsiaTheme="minorEastAsia" w:hAnsi="Cambria Math"/>
                <w:i/>
              </w:rPr>
            </m:ctrlPr>
          </m:accPr>
          <m:e>
            <m:r>
              <w:rPr>
                <w:rFonts w:ascii="Cambria Math" w:eastAsiaTheme="minorEastAsia" w:hAnsi="Cambria Math"/>
              </w:rPr>
              <m:t>VaR</m:t>
            </m:r>
          </m:e>
        </m:acc>
      </m:oMath>
      <w:r>
        <w:rPr>
          <w:rFonts w:eastAsiaTheme="minorEastAsia"/>
        </w:rPr>
        <w:t xml:space="preserve"> is the value of the VaR to be estimated and </w:t>
      </w:r>
      <m:oMath>
        <m:r>
          <w:rPr>
            <w:rFonts w:ascii="Cambria Math" w:eastAsiaTheme="minorEastAsia" w:hAnsi="Cambria Math"/>
          </w:rPr>
          <m:t>h</m:t>
        </m:r>
      </m:oMath>
      <w:r>
        <w:rPr>
          <w:rFonts w:eastAsiaTheme="minorEastAsia"/>
        </w:rPr>
        <w:t xml:space="preserve"> is the so-called bandwidth of the kernel, which can be </w:t>
      </w:r>
      <w:r w:rsidR="00AB4F7C">
        <w:rPr>
          <w:rFonts w:eastAsiaTheme="minorEastAsia"/>
        </w:rPr>
        <w:t>estimated by</w:t>
      </w:r>
      <w:r>
        <w:rPr>
          <w:rFonts w:eastAsiaTheme="minorEastAsia"/>
        </w:rPr>
        <w:t xml:space="preserve"> </w:t>
      </w:r>
      <m:oMath>
        <m:r>
          <w:rPr>
            <w:rFonts w:ascii="Cambria Math" w:eastAsiaTheme="minorEastAsia" w:hAnsi="Cambria Math"/>
          </w:rPr>
          <m:t>h=</m:t>
        </m:r>
        <m:acc>
          <m:accPr>
            <m:ctrlPr>
              <w:rPr>
                <w:rFonts w:ascii="Cambria Math" w:eastAsiaTheme="minorEastAsia" w:hAnsi="Cambria Math"/>
                <w:i/>
              </w:rPr>
            </m:ctrlPr>
          </m:accPr>
          <m:e>
            <m:r>
              <w:rPr>
                <w:rFonts w:ascii="Cambria Math" w:eastAsiaTheme="minorEastAsia" w:hAnsi="Cambria Math"/>
              </w:rPr>
              <m:t>σ</m:t>
            </m:r>
          </m:e>
        </m:acc>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sup>
        </m:sSup>
      </m:oMath>
      <w:r w:rsidR="006B2272">
        <w:rPr>
          <w:rFonts w:eastAsiaTheme="minorEastAsia"/>
        </w:rPr>
        <w:t xml:space="preserve">, where </w:t>
      </w:r>
      <m:oMath>
        <m:acc>
          <m:accPr>
            <m:ctrlPr>
              <w:rPr>
                <w:rFonts w:ascii="Cambria Math" w:eastAsiaTheme="minorEastAsia" w:hAnsi="Cambria Math"/>
                <w:i/>
              </w:rPr>
            </m:ctrlPr>
          </m:accPr>
          <m:e>
            <m:r>
              <w:rPr>
                <w:rFonts w:ascii="Cambria Math" w:eastAsiaTheme="minorEastAsia" w:hAnsi="Cambria Math"/>
              </w:rPr>
              <m:t>σ</m:t>
            </m:r>
          </m:e>
        </m:acc>
      </m:oMath>
      <w:r w:rsidR="006B2272">
        <w:rPr>
          <w:rFonts w:eastAsiaTheme="minorEastAsia"/>
        </w:rPr>
        <w:t xml:space="preserve"> is the estimated standard deviation of the portfolio returns.</w:t>
      </w:r>
    </w:p>
    <w:p w:rsidR="00941A9A" w:rsidRDefault="00941A9A" w:rsidP="00F329F4">
      <w:pPr>
        <w:rPr>
          <w:rFonts w:eastAsiaTheme="minorEastAsia"/>
        </w:rPr>
      </w:pPr>
      <w:r>
        <w:rPr>
          <w:rFonts w:eastAsiaTheme="minorEastAsia"/>
        </w:rPr>
        <w:t xml:space="preserve">One way to estimate VaR is to define a loss function L (not to be confused with the losses of the portfolio) representing the distance between the kernel of </w:t>
      </w:r>
      <w:r w:rsidR="00935A97">
        <w:fldChar w:fldCharType="begin"/>
      </w:r>
      <w:r w:rsidR="00C56DCE">
        <w:rPr>
          <w:rFonts w:eastAsiaTheme="minorEastAsia"/>
        </w:rPr>
        <w:instrText xml:space="preserve"> REF _Ref26561326 \h </w:instrText>
      </w:r>
      <w:r w:rsidR="00935A97">
        <w:fldChar w:fldCharType="separate"/>
      </w:r>
      <w:r w:rsidR="00C56DCE">
        <w:t xml:space="preserve">Equation </w:t>
      </w:r>
      <w:r w:rsidR="00C56DCE">
        <w:rPr>
          <w:noProof/>
        </w:rPr>
        <w:t>6</w:t>
      </w:r>
      <w:r w:rsidR="00935A97">
        <w:fldChar w:fldCharType="end"/>
      </w:r>
      <w:r>
        <w:rPr>
          <w:rFonts w:eastAsiaTheme="minorEastAsia"/>
        </w:rPr>
        <w:t xml:space="preserve"> and the </w:t>
      </w:r>
      <w:proofErr w:type="gramStart"/>
      <w:r>
        <w:rPr>
          <w:rFonts w:eastAsiaTheme="minorEastAsia"/>
        </w:rPr>
        <w:t xml:space="preserve">level </w:t>
      </w:r>
      <m:oMath>
        <w:proofErr w:type="gramEnd"/>
        <m:r>
          <w:rPr>
            <w:rFonts w:ascii="Cambria Math" w:eastAsiaTheme="minorEastAsia" w:hAnsi="Cambria Math"/>
          </w:rPr>
          <m:t>α</m:t>
        </m:r>
      </m:oMath>
      <w:r>
        <w:rPr>
          <w:rFonts w:eastAsiaTheme="minorEastAsia"/>
        </w:rPr>
        <w:t xml:space="preserve">. The value that corresponds to the </w:t>
      </w:r>
      <w:r>
        <w:rPr>
          <w:rFonts w:eastAsiaTheme="minorEastAsia"/>
        </w:rPr>
        <w:lastRenderedPageBreak/>
        <w:t xml:space="preserve">minimum of the loss function is indeed the estimated </w:t>
      </w:r>
      <m:oMath>
        <m:acc>
          <m:accPr>
            <m:ctrlPr>
              <w:rPr>
                <w:rFonts w:ascii="Cambria Math" w:eastAsiaTheme="minorEastAsia" w:hAnsi="Cambria Math"/>
                <w:i/>
              </w:rPr>
            </m:ctrlPr>
          </m:accPr>
          <m:e>
            <m:r>
              <w:rPr>
                <w:rFonts w:ascii="Cambria Math" w:eastAsiaTheme="minorEastAsia" w:hAnsi="Cambria Math"/>
              </w:rPr>
              <m:t>VaR</m:t>
            </m:r>
          </m:e>
        </m:acc>
      </m:oMath>
      <w:r>
        <w:rPr>
          <w:rFonts w:eastAsiaTheme="minorEastAsia"/>
        </w:rPr>
        <w:t xml:space="preserve"> (see </w:t>
      </w:r>
      <w:r w:rsidR="00935A97">
        <w:fldChar w:fldCharType="begin"/>
      </w:r>
      <w:r w:rsidR="00C56DCE">
        <w:rPr>
          <w:rFonts w:eastAsiaTheme="minorEastAsia"/>
        </w:rPr>
        <w:instrText xml:space="preserve"> REF _Ref26561365 \h </w:instrText>
      </w:r>
      <w:r w:rsidR="00935A97">
        <w:fldChar w:fldCharType="separate"/>
      </w:r>
      <w:r w:rsidR="00C56DCE">
        <w:t xml:space="preserve">Equation </w:t>
      </w:r>
      <w:r w:rsidR="00C56DCE">
        <w:rPr>
          <w:noProof/>
        </w:rPr>
        <w:t>7</w:t>
      </w:r>
      <w:r w:rsidR="00935A97">
        <w:fldChar w:fldCharType="end"/>
      </w:r>
      <w:r>
        <w:rPr>
          <w:rFonts w:eastAsiaTheme="minorEastAsia"/>
        </w:rPr>
        <w:t>).</w:t>
      </w:r>
      <w:r w:rsidR="00C62D55">
        <w:rPr>
          <w:rFonts w:eastAsiaTheme="minorEastAsia"/>
        </w:rPr>
        <w:t xml:space="preserve"> </w:t>
      </w:r>
      <w:r w:rsidR="00935A97">
        <w:fldChar w:fldCharType="begin"/>
      </w:r>
      <w:r w:rsidR="00C56DCE">
        <w:rPr>
          <w:rFonts w:eastAsiaTheme="minorEastAsia"/>
        </w:rPr>
        <w:instrText xml:space="preserve"> REF _Ref26561381 \h </w:instrText>
      </w:r>
      <w:r w:rsidR="00935A97">
        <w:fldChar w:fldCharType="separate"/>
      </w:r>
      <w:r w:rsidR="00C56DCE">
        <w:t xml:space="preserve">Figure </w:t>
      </w:r>
      <w:r w:rsidR="00C56DCE">
        <w:rPr>
          <w:noProof/>
        </w:rPr>
        <w:t>2</w:t>
      </w:r>
      <w:r w:rsidR="00935A97">
        <w:fldChar w:fldCharType="end"/>
      </w:r>
      <w:r w:rsidR="00C62D55">
        <w:rPr>
          <w:rFonts w:eastAsiaTheme="minorEastAsia"/>
        </w:rPr>
        <w:t xml:space="preserve"> shows an example of loss function minimization to estimate the VaR of the cryptocurrencies portfolio.</w:t>
      </w:r>
    </w:p>
    <w:p w:rsidR="00941A9A" w:rsidRPr="009646CA" w:rsidRDefault="00935A97" w:rsidP="00897D43">
      <w:pPr>
        <w:jc w:val="center"/>
        <w:rPr>
          <w:rFonts w:eastAsiaTheme="minorEastAsia"/>
          <w:lang w:val="it-IT"/>
        </w:rPr>
      </w:pPr>
      <m:oMathPara>
        <m:oMath>
          <m:acc>
            <m:accPr>
              <m:ctrlPr>
                <w:rPr>
                  <w:rFonts w:ascii="Cambria Math" w:eastAsiaTheme="minorEastAsia" w:hAnsi="Cambria Math"/>
                  <w:i/>
                </w:rPr>
              </m:ctrlPr>
            </m:accPr>
            <m:e>
              <m:r>
                <w:rPr>
                  <w:rFonts w:ascii="Cambria Math" w:eastAsiaTheme="minorEastAsia" w:hAnsi="Cambria Math"/>
                </w:rPr>
                <m:t>VaR</m:t>
              </m:r>
            </m:e>
          </m:acc>
          <m:r>
            <w:rPr>
              <w:rFonts w:ascii="Cambria Math" w:eastAsiaTheme="minorEastAsia" w:hAnsi="Cambria Math"/>
              <w:lang w:val="it-IT"/>
            </w:rPr>
            <m:t>=</m:t>
          </m:r>
          <m:r>
            <w:rPr>
              <w:rFonts w:ascii="Cambria Math" w:eastAsiaTheme="minorEastAsia" w:hAnsi="Cambria Math"/>
            </w:rPr>
            <m:t>argmi</m:t>
          </m:r>
          <m:sSub>
            <m:sSubPr>
              <m:ctrlPr>
                <w:rPr>
                  <w:rFonts w:ascii="Cambria Math" w:eastAsiaTheme="minorEastAsia" w:hAnsi="Cambria Math"/>
                  <w:i/>
                </w:rPr>
              </m:ctrlPr>
            </m:sSubPr>
            <m:e>
              <m:r>
                <w:rPr>
                  <w:rFonts w:ascii="Cambria Math" w:eastAsiaTheme="minorEastAsia" w:hAnsi="Cambria Math"/>
                </w:rPr>
                <m:t>n</m:t>
              </m:r>
            </m:e>
            <m:sub>
              <m:r>
                <m:rPr>
                  <m:nor/>
                </m:rPr>
                <w:rPr>
                  <w:rFonts w:ascii="Cambria Math" w:eastAsiaTheme="minorEastAsia" w:hAnsi="Cambria Math"/>
                  <w:lang w:val="it-IT"/>
                </w:rPr>
                <m:t>VaR</m:t>
              </m:r>
              <m:ctrlPr>
                <w:rPr>
                  <w:rFonts w:ascii="Cambria Math" w:eastAsiaTheme="minorEastAsia" w:hAnsi="Cambria Math"/>
                </w:rPr>
              </m:ctrlPr>
            </m:sub>
          </m:sSub>
          <m:r>
            <w:rPr>
              <w:rFonts w:ascii="Cambria Math" w:eastAsiaTheme="minorEastAsia" w:hAnsi="Cambria Math"/>
              <w:lang w:val="it-IT"/>
            </w:rPr>
            <m:t>L=</m:t>
          </m:r>
          <m:r>
            <w:rPr>
              <w:rFonts w:ascii="Cambria Math" w:eastAsiaTheme="minorEastAsia" w:hAnsi="Cambria Math"/>
            </w:rPr>
            <m:t>argmi</m:t>
          </m:r>
          <m:sSub>
            <m:sSubPr>
              <m:ctrlPr>
                <w:rPr>
                  <w:rFonts w:ascii="Cambria Math" w:eastAsiaTheme="minorEastAsia" w:hAnsi="Cambria Math"/>
                  <w:i/>
                  <w:lang w:val="it-IT"/>
                </w:rPr>
              </m:ctrlPr>
            </m:sSubPr>
            <m:e>
              <m:r>
                <w:rPr>
                  <w:rFonts w:ascii="Cambria Math" w:eastAsiaTheme="minorEastAsia" w:hAnsi="Cambria Math"/>
                </w:rPr>
                <m:t>n</m:t>
              </m:r>
              <m:ctrlPr>
                <w:rPr>
                  <w:rFonts w:ascii="Cambria Math" w:eastAsiaTheme="minorEastAsia" w:hAnsi="Cambria Math"/>
                  <w:i/>
                </w:rPr>
              </m:ctrlPr>
            </m:e>
            <m:sub>
              <m:r>
                <m:rPr>
                  <m:nor/>
                </m:rPr>
                <w:rPr>
                  <w:rFonts w:ascii="Cambria Math" w:eastAsiaTheme="minorEastAsia" w:hAnsi="Cambria Math"/>
                  <w:lang w:val="it-IT"/>
                </w:rPr>
                <m:t>VaR</m:t>
              </m:r>
              <m:ctrlPr>
                <w:rPr>
                  <w:rFonts w:ascii="Cambria Math" w:eastAsiaTheme="minorEastAsia" w:hAnsi="Cambria Math"/>
                  <w:lang w:val="it-IT"/>
                </w:rPr>
              </m:ctrlPr>
            </m:sub>
          </m:sSub>
          <m:sSup>
            <m:sSupPr>
              <m:ctrlPr>
                <w:rPr>
                  <w:rFonts w:ascii="Cambria Math" w:eastAsiaTheme="minorEastAsia" w:hAnsi="Cambria Math"/>
                  <w:i/>
                </w:rPr>
              </m:ctrlPr>
            </m:sSup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lang w:val="it-IT"/>
                        </w:rPr>
                        <m:t>1</m:t>
                      </m:r>
                    </m:num>
                    <m:den>
                      <m:r>
                        <w:rPr>
                          <w:rFonts w:ascii="Cambria Math" w:eastAsiaTheme="minorEastAsia" w:hAnsi="Cambria Math"/>
                        </w:rPr>
                        <m:t>T</m:t>
                      </m:r>
                    </m:den>
                  </m:f>
                  <m:nary>
                    <m:naryPr>
                      <m:chr m:val="∑"/>
                      <m:limLoc m:val="undOvr"/>
                      <m:ctrlPr>
                        <w:rPr>
                          <w:rFonts w:ascii="Cambria Math" w:eastAsiaTheme="minorEastAsia" w:hAnsi="Cambria Math"/>
                          <w:i/>
                        </w:rPr>
                      </m:ctrlPr>
                    </m:naryPr>
                    <m:sub>
                      <m:r>
                        <w:rPr>
                          <w:rFonts w:ascii="Cambria Math" w:eastAsiaTheme="minorEastAsia" w:hAnsi="Cambria Math"/>
                        </w:rPr>
                        <m:t>t</m:t>
                      </m:r>
                      <m:r>
                        <w:rPr>
                          <w:rFonts w:ascii="Cambria Math" w:eastAsiaTheme="minorEastAsia" w:hAnsi="Cambria Math"/>
                          <w:lang w:val="it-IT"/>
                        </w:rPr>
                        <m:t>=1</m:t>
                      </m:r>
                    </m:sub>
                    <m:sup>
                      <m:r>
                        <w:rPr>
                          <w:rFonts w:ascii="Cambria Math" w:eastAsiaTheme="minorEastAsia" w:hAnsi="Cambria Math"/>
                        </w:rPr>
                        <m:t>T</m:t>
                      </m:r>
                    </m:sup>
                    <m:e>
                      <m:r>
                        <m:rPr>
                          <m:sty m:val="p"/>
                        </m:rPr>
                        <w:rPr>
                          <w:rFonts w:ascii="Cambria Math" w:eastAsiaTheme="minorEastAsia" w:hAnsi="Cambria Math"/>
                        </w:rPr>
                        <m:t>Φ</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lang w:val="it-IT"/>
                                </w:rPr>
                                <m:t>-</m:t>
                              </m:r>
                              <m:r>
                                <w:rPr>
                                  <w:rFonts w:ascii="Cambria Math" w:eastAsiaTheme="minorEastAsia" w:hAnsi="Cambria Math"/>
                                </w:rPr>
                                <m:t>VaR</m:t>
                              </m:r>
                            </m:num>
                            <m:den>
                              <m:r>
                                <w:rPr>
                                  <w:rFonts w:ascii="Cambria Math" w:eastAsiaTheme="minorEastAsia" w:hAnsi="Cambria Math"/>
                                  <w:lang w:val="it-IT"/>
                                </w:rPr>
                                <m:t>h</m:t>
                              </m:r>
                            </m:den>
                          </m:f>
                        </m:e>
                      </m:d>
                      <m:r>
                        <w:rPr>
                          <w:rFonts w:ascii="Cambria Math" w:eastAsiaTheme="minorEastAsia" w:hAnsi="Cambria Math"/>
                          <w:lang w:val="it-IT"/>
                        </w:rPr>
                        <m:t>-</m:t>
                      </m:r>
                      <m:r>
                        <w:rPr>
                          <w:rFonts w:ascii="Cambria Math" w:eastAsiaTheme="minorEastAsia" w:hAnsi="Cambria Math"/>
                        </w:rPr>
                        <m:t>α</m:t>
                      </m:r>
                    </m:e>
                  </m:nary>
                </m:e>
              </m:d>
            </m:e>
            <m:sup>
              <m:r>
                <w:rPr>
                  <w:rFonts w:ascii="Cambria Math" w:eastAsiaTheme="minorEastAsia" w:hAnsi="Cambria Math"/>
                  <w:lang w:val="it-IT"/>
                </w:rPr>
                <m:t>2</m:t>
              </m:r>
            </m:sup>
          </m:sSup>
        </m:oMath>
      </m:oMathPara>
    </w:p>
    <w:p w:rsidR="00897D43" w:rsidRDefault="00E90C2F" w:rsidP="00E90C2F">
      <w:pPr>
        <w:pStyle w:val="Lgende"/>
        <w:jc w:val="center"/>
      </w:pPr>
      <w:bookmarkStart w:id="16" w:name="_Ref26561365"/>
      <w:r>
        <w:t xml:space="preserve">Equation </w:t>
      </w:r>
      <w:fldSimple w:instr=" SEQ Équation \* ARABIC ">
        <w:r w:rsidR="00A1413E">
          <w:rPr>
            <w:noProof/>
          </w:rPr>
          <w:t>7</w:t>
        </w:r>
      </w:fldSimple>
      <w:bookmarkEnd w:id="16"/>
      <w:r>
        <w:t xml:space="preserve">. </w:t>
      </w:r>
      <w:r w:rsidR="0077391F">
        <w:t xml:space="preserve">An algorithm to estimate VaR using the </w:t>
      </w:r>
      <w:r w:rsidR="00D872C9">
        <w:t xml:space="preserve">(Gaussian) </w:t>
      </w:r>
      <w:r w:rsidR="0077391F">
        <w:t>kernel method.</w:t>
      </w:r>
    </w:p>
    <w:p w:rsidR="00413AFA" w:rsidRDefault="00C62926" w:rsidP="00413AFA">
      <w:pPr>
        <w:jc w:val="center"/>
      </w:pPr>
      <w:r>
        <w:rPr>
          <w:noProof/>
          <w:lang w:val="fr-FR" w:eastAsia="fr-FR"/>
        </w:rPr>
        <w:drawing>
          <wp:inline distT="0" distB="0" distL="0" distR="0">
            <wp:extent cx="3105150" cy="2520950"/>
            <wp:effectExtent l="0" t="0" r="0" b="0"/>
            <wp:docPr id="3" name="Image 3" descr="Loss_function_VaR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ss_function_VaR_5"/>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05150" cy="2520950"/>
                    </a:xfrm>
                    <a:prstGeom prst="rect">
                      <a:avLst/>
                    </a:prstGeom>
                    <a:noFill/>
                    <a:ln>
                      <a:noFill/>
                    </a:ln>
                  </pic:spPr>
                </pic:pic>
              </a:graphicData>
            </a:graphic>
          </wp:inline>
        </w:drawing>
      </w:r>
    </w:p>
    <w:p w:rsidR="00413AFA" w:rsidRPr="00413AFA" w:rsidRDefault="00E90C2F" w:rsidP="00E90C2F">
      <w:pPr>
        <w:pStyle w:val="Lgende"/>
        <w:jc w:val="center"/>
      </w:pPr>
      <w:bookmarkStart w:id="17" w:name="_Ref26561381"/>
      <w:bookmarkStart w:id="18" w:name="_Ref25351714"/>
      <w:r>
        <w:t xml:space="preserve">Figure </w:t>
      </w:r>
      <w:fldSimple w:instr=" SEQ Figure \* ARABIC ">
        <w:r>
          <w:rPr>
            <w:noProof/>
          </w:rPr>
          <w:t>2</w:t>
        </w:r>
      </w:fldSimple>
      <w:bookmarkEnd w:id="17"/>
      <w:r>
        <w:t xml:space="preserve">. </w:t>
      </w:r>
      <w:r w:rsidR="00413AFA">
        <w:t>Minimization of the loss function to estimate the VaR using a kernel approach.</w:t>
      </w:r>
      <w:bookmarkEnd w:id="18"/>
    </w:p>
    <w:p w:rsidR="000371E9" w:rsidRDefault="00B41588" w:rsidP="00F329F4">
      <w:pPr>
        <w:rPr>
          <w:lang w:val="en-US"/>
        </w:rPr>
      </w:pPr>
      <w:r>
        <w:rPr>
          <w:lang w:val="en-US"/>
        </w:rPr>
        <w:t xml:space="preserve">Once </w:t>
      </w:r>
      <w:r w:rsidR="00A464E2">
        <w:rPr>
          <w:lang w:val="en-US"/>
        </w:rPr>
        <w:t xml:space="preserve">VaR is estimated we can estimate the corresponding ES using </w:t>
      </w:r>
      <w:r w:rsidR="00935A97">
        <w:rPr>
          <w:lang w:val="en-US"/>
        </w:rPr>
        <w:fldChar w:fldCharType="begin"/>
      </w:r>
      <w:r w:rsidR="00AA53D3">
        <w:rPr>
          <w:lang w:val="en-US"/>
        </w:rPr>
        <w:instrText xml:space="preserve"> REF _Ref26561555 \h </w:instrText>
      </w:r>
      <w:r w:rsidR="00935A97">
        <w:rPr>
          <w:lang w:val="en-US"/>
        </w:rPr>
      </w:r>
      <w:r w:rsidR="00935A97">
        <w:rPr>
          <w:lang w:val="en-US"/>
        </w:rPr>
        <w:fldChar w:fldCharType="separate"/>
      </w:r>
      <w:r w:rsidR="00AA53D3">
        <w:t xml:space="preserve">Equation </w:t>
      </w:r>
      <w:r w:rsidR="00AA53D3">
        <w:rPr>
          <w:noProof/>
        </w:rPr>
        <w:t>8</w:t>
      </w:r>
      <w:r w:rsidR="00935A97">
        <w:rPr>
          <w:lang w:val="en-US"/>
        </w:rPr>
        <w:fldChar w:fldCharType="end"/>
      </w:r>
      <w:r w:rsidR="00A464E2">
        <w:rPr>
          <w:lang w:val="en-US"/>
        </w:rPr>
        <w:t>.</w:t>
      </w:r>
    </w:p>
    <w:p w:rsidR="00A464E2" w:rsidRDefault="00935A97" w:rsidP="00F329F4">
      <w:pPr>
        <w:rPr>
          <w:rFonts w:eastAsiaTheme="minorEastAsia"/>
          <w:lang w:val="en-US"/>
        </w:rPr>
      </w:pPr>
      <m:oMathPara>
        <m:oMath>
          <m:acc>
            <m:accPr>
              <m:ctrlPr>
                <w:rPr>
                  <w:rFonts w:ascii="Cambria Math" w:hAnsi="Cambria Math"/>
                  <w:i/>
                  <w:lang w:val="en-US"/>
                </w:rPr>
              </m:ctrlPr>
            </m:accPr>
            <m:e>
              <m:r>
                <w:rPr>
                  <w:rFonts w:ascii="Cambria Math" w:hAnsi="Cambria Math"/>
                  <w:lang w:val="en-US"/>
                </w:rPr>
                <m:t>ES</m:t>
              </m:r>
            </m:e>
          </m:acc>
          <m:r>
            <w:rPr>
              <w:rFonts w:ascii="Cambria Math" w:hAnsi="Cambria Math"/>
              <w:lang w:val="en-US"/>
            </w:rPr>
            <m:t>=</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m:t>
                  </m:r>
                </m:num>
                <m:den>
                  <m:r>
                    <w:rPr>
                      <w:rFonts w:ascii="Cambria Math" w:hAnsi="Cambria Math"/>
                      <w:lang w:val="en-US"/>
                    </w:rPr>
                    <m:t>T</m:t>
                  </m:r>
                </m:den>
              </m:f>
              <m:nary>
                <m:naryPr>
                  <m:chr m:val="∑"/>
                  <m:limLoc m:val="undOvr"/>
                  <m:ctrlPr>
                    <w:rPr>
                      <w:rFonts w:ascii="Cambria Math" w:hAnsi="Cambria Math"/>
                      <w:i/>
                      <w:lang w:val="en-US"/>
                    </w:rPr>
                  </m:ctrlPr>
                </m:naryPr>
                <m:sub>
                  <m:r>
                    <w:rPr>
                      <w:rFonts w:ascii="Cambria Math" w:hAnsi="Cambria Math"/>
                      <w:lang w:val="en-US"/>
                    </w:rPr>
                    <m:t>t=1</m:t>
                  </m:r>
                </m:sub>
                <m:sup>
                  <m:r>
                    <w:rPr>
                      <w:rFonts w:ascii="Cambria Math" w:hAnsi="Cambria Math"/>
                      <w:lang w:val="en-US"/>
                    </w:rPr>
                    <m:t>T</m:t>
                  </m:r>
                </m:sup>
                <m:e>
                  <m:d>
                    <m:dPr>
                      <m:begChr m:val="["/>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z</m:t>
                          </m:r>
                        </m:e>
                        <m:sub>
                          <m:r>
                            <m:rPr>
                              <m:sty m:val="p"/>
                            </m:rPr>
                            <w:rPr>
                              <w:rFonts w:ascii="Cambria Math" w:eastAsiaTheme="minorEastAsia" w:hAnsi="Cambria Math"/>
                            </w:rPr>
                            <m:t>t</m:t>
                          </m:r>
                        </m:sub>
                      </m:sSub>
                      <m:r>
                        <m:rPr>
                          <m:sty m:val="p"/>
                        </m:rPr>
                        <w:rPr>
                          <w:rFonts w:ascii="Cambria Math" w:eastAsiaTheme="minorEastAsia" w:hAnsi="Cambria Math"/>
                        </w:rPr>
                        <m:t>Φ</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lang w:val="it-IT"/>
                                </w:rPr>
                                <m:t>-</m:t>
                              </m:r>
                              <m:acc>
                                <m:accPr>
                                  <m:ctrlPr>
                                    <w:rPr>
                                      <w:rFonts w:ascii="Cambria Math" w:eastAsiaTheme="minorEastAsia" w:hAnsi="Cambria Math"/>
                                      <w:i/>
                                    </w:rPr>
                                  </m:ctrlPr>
                                </m:accPr>
                                <m:e>
                                  <m:r>
                                    <w:rPr>
                                      <w:rFonts w:ascii="Cambria Math" w:eastAsiaTheme="minorEastAsia" w:hAnsi="Cambria Math"/>
                                    </w:rPr>
                                    <m:t>VaR</m:t>
                                  </m:r>
                                </m:e>
                              </m:acc>
                            </m:num>
                            <m:den>
                              <m:r>
                                <w:rPr>
                                  <w:rFonts w:ascii="Cambria Math" w:eastAsiaTheme="minorEastAsia" w:hAnsi="Cambria Math"/>
                                  <w:lang w:val="it-IT"/>
                                </w:rPr>
                                <m:t>h</m:t>
                              </m:r>
                            </m:den>
                          </m:f>
                        </m:e>
                      </m:d>
                    </m:e>
                  </m:d>
                </m:e>
              </m:nary>
            </m:num>
            <m:den>
              <m:r>
                <w:rPr>
                  <w:rFonts w:ascii="Cambria Math" w:hAnsi="Cambria Math"/>
                  <w:lang w:val="en-US"/>
                </w:rPr>
                <m:t>α</m:t>
              </m:r>
            </m:den>
          </m:f>
        </m:oMath>
      </m:oMathPara>
    </w:p>
    <w:p w:rsidR="00C72A9B" w:rsidRDefault="00C7741E" w:rsidP="00C7741E">
      <w:pPr>
        <w:pStyle w:val="Lgende"/>
        <w:jc w:val="center"/>
        <w:rPr>
          <w:lang w:val="en-US"/>
        </w:rPr>
      </w:pPr>
      <w:bookmarkStart w:id="19" w:name="_Ref26561555"/>
      <w:r>
        <w:t xml:space="preserve">Equation </w:t>
      </w:r>
      <w:fldSimple w:instr=" SEQ Équation \* ARABIC ">
        <w:r w:rsidR="00A1413E">
          <w:rPr>
            <w:noProof/>
          </w:rPr>
          <w:t>8</w:t>
        </w:r>
      </w:fldSimple>
      <w:bookmarkEnd w:id="19"/>
      <w:r w:rsidR="00C72A9B">
        <w:t>. Estimated ES using the non-parametric Gaussian kernel.</w:t>
      </w:r>
    </w:p>
    <w:p w:rsidR="00CF18C6" w:rsidRDefault="00CC0721" w:rsidP="00CF18C6">
      <w:pPr>
        <w:pStyle w:val="Titre3"/>
        <w:numPr>
          <w:ilvl w:val="1"/>
          <w:numId w:val="3"/>
        </w:numPr>
      </w:pPr>
      <w:bookmarkStart w:id="20" w:name="_Toc25585443"/>
      <w:r>
        <w:t>Generalized Pareto Distribution</w:t>
      </w:r>
      <w:bookmarkEnd w:id="20"/>
    </w:p>
    <w:p w:rsidR="00764482" w:rsidRDefault="00764482" w:rsidP="00764482">
      <w:pPr>
        <w:rPr>
          <w:rFonts w:eastAsiaTheme="minorEastAsia"/>
        </w:rPr>
      </w:pPr>
      <w:r>
        <w:t xml:space="preserve">A branch of statistics called Extreme Value Theory suggests that the distribution of rare events can be modelled using the so-called Generalized Pareto Distribution (GPD), having parameters </w:t>
      </w:r>
      <m:oMath>
        <m:r>
          <w:rPr>
            <w:rFonts w:ascii="Cambria Math" w:hAnsi="Cambria Math"/>
          </w:rPr>
          <m:t>ξ</m:t>
        </m:r>
      </m:oMath>
      <w:r>
        <w:rPr>
          <w:rFonts w:eastAsiaTheme="minorEastAsia"/>
        </w:rPr>
        <w:t xml:space="preserve"> and </w:t>
      </w:r>
      <m:oMath>
        <m:r>
          <w:rPr>
            <w:rFonts w:ascii="Cambria Math" w:eastAsiaTheme="minorEastAsia" w:hAnsi="Cambria Math"/>
          </w:rPr>
          <m:t>σ</m:t>
        </m:r>
      </m:oMath>
      <w:r>
        <w:rPr>
          <w:rFonts w:eastAsiaTheme="minorEastAsia"/>
        </w:rPr>
        <w:t xml:space="preserve">. In addition, the Peaks-Over-Threshold (POT) method suggests a strategy to estimate VaR and ES by fitting the GPD to the losses above a threshold </w:t>
      </w:r>
      <w:r>
        <w:rPr>
          <w:rFonts w:eastAsiaTheme="minorEastAsia"/>
          <w:i/>
        </w:rPr>
        <w:t>u</w:t>
      </w:r>
      <w:r>
        <w:rPr>
          <w:rFonts w:eastAsiaTheme="minorEastAsia"/>
        </w:rPr>
        <w:t xml:space="preserve">. </w:t>
      </w:r>
      <w:r w:rsidR="001A2778">
        <w:rPr>
          <w:rFonts w:eastAsiaTheme="minorEastAsia"/>
        </w:rPr>
        <w:t>Various methods exist to estimate an optimal threshold u, including the use of empirical quantiles. In the present study we decided to use a visual tool, called Mean Excess (ME) plot</w:t>
      </w:r>
      <w:r w:rsidR="00C40F1C">
        <w:rPr>
          <w:rFonts w:eastAsiaTheme="minorEastAsia"/>
        </w:rPr>
        <w:t xml:space="preserve"> </w:t>
      </w:r>
      <w:sdt>
        <w:sdtPr>
          <w:rPr>
            <w:rFonts w:eastAsiaTheme="minorEastAsia"/>
          </w:rPr>
          <w:id w:val="1880045649"/>
          <w:citation/>
        </w:sdtPr>
        <w:sdtContent>
          <w:r w:rsidR="00935A97">
            <w:rPr>
              <w:rFonts w:eastAsiaTheme="minorEastAsia"/>
            </w:rPr>
            <w:fldChar w:fldCharType="begin"/>
          </w:r>
          <w:r w:rsidR="00C40F1C" w:rsidRPr="00C40F1C">
            <w:rPr>
              <w:rFonts w:eastAsiaTheme="minorEastAsia"/>
              <w:lang w:val="en-US"/>
            </w:rPr>
            <w:instrText xml:space="preserve"> CITATION Gho10 \l 1040 </w:instrText>
          </w:r>
          <w:r w:rsidR="00935A97">
            <w:rPr>
              <w:rFonts w:eastAsiaTheme="minorEastAsia"/>
            </w:rPr>
            <w:fldChar w:fldCharType="separate"/>
          </w:r>
          <w:r w:rsidR="00C40F1C" w:rsidRPr="00C40F1C">
            <w:rPr>
              <w:rFonts w:eastAsiaTheme="minorEastAsia"/>
              <w:noProof/>
              <w:lang w:val="en-US"/>
            </w:rPr>
            <w:t>[4]</w:t>
          </w:r>
          <w:r w:rsidR="00935A97">
            <w:rPr>
              <w:rFonts w:eastAsiaTheme="minorEastAsia"/>
            </w:rPr>
            <w:fldChar w:fldCharType="end"/>
          </w:r>
        </w:sdtContent>
      </w:sdt>
      <w:r w:rsidR="001A2778">
        <w:rPr>
          <w:rFonts w:eastAsiaTheme="minorEastAsia"/>
        </w:rPr>
        <w:t xml:space="preserve">, which </w:t>
      </w:r>
      <w:r w:rsidR="003210DA">
        <w:rPr>
          <w:rFonts w:eastAsiaTheme="minorEastAsia"/>
        </w:rPr>
        <w:t xml:space="preserve">has </w:t>
      </w:r>
      <w:r w:rsidR="001A2778">
        <w:rPr>
          <w:rFonts w:eastAsiaTheme="minorEastAsia"/>
        </w:rPr>
        <w:t>allow</w:t>
      </w:r>
      <w:r w:rsidR="003210DA">
        <w:rPr>
          <w:rFonts w:eastAsiaTheme="minorEastAsia"/>
        </w:rPr>
        <w:t>ed us to estimate</w:t>
      </w:r>
      <w:r w:rsidR="001A2778">
        <w:rPr>
          <w:rFonts w:eastAsiaTheme="minorEastAsia"/>
        </w:rPr>
        <w:t xml:space="preserve"> an adapted threshold, before fitting the GPD to the extreme data.</w:t>
      </w:r>
    </w:p>
    <w:p w:rsidR="001A2778" w:rsidRDefault="001A2778" w:rsidP="00764482">
      <w:r>
        <w:t>The ME plot is an empirical graphical plot of the ME</w:t>
      </w:r>
      <w:r w:rsidR="00E5234A">
        <w:t xml:space="preserve"> function of a random variable Z</w:t>
      </w:r>
      <w:r>
        <w:t xml:space="preserve"> </w:t>
      </w:r>
      <w:r>
        <w:rPr>
          <w:rFonts w:cs="Times New Roman"/>
        </w:rPr>
        <w:t>which is</w:t>
      </w:r>
      <w:r w:rsidR="00C40F1C">
        <w:t xml:space="preserve"> defined in </w:t>
      </w:r>
      <w:r w:rsidR="00935A97">
        <w:fldChar w:fldCharType="begin"/>
      </w:r>
      <w:r w:rsidR="00C40F1C">
        <w:instrText xml:space="preserve"> REF _Ref26562113 \h </w:instrText>
      </w:r>
      <w:r w:rsidR="00935A97">
        <w:fldChar w:fldCharType="separate"/>
      </w:r>
      <w:r w:rsidR="00C40F1C">
        <w:t xml:space="preserve">Equation </w:t>
      </w:r>
      <w:r w:rsidR="00C40F1C">
        <w:rPr>
          <w:noProof/>
        </w:rPr>
        <w:t>9</w:t>
      </w:r>
      <w:r w:rsidR="00935A97">
        <w:fldChar w:fldCharType="end"/>
      </w:r>
      <w:r>
        <w:t>.</w:t>
      </w:r>
    </w:p>
    <w:p w:rsidR="00C62D55" w:rsidRDefault="001A2778" w:rsidP="00C62D55">
      <w:pPr>
        <w:rPr>
          <w:lang w:val="it-IT"/>
        </w:rPr>
      </w:pPr>
      <m:oMathPara>
        <m:oMath>
          <m:r>
            <w:rPr>
              <w:rFonts w:ascii="Cambria Math" w:hAnsi="Cambria Math"/>
            </w:rPr>
            <m:t>ME</m:t>
          </m:r>
          <m:d>
            <m:dPr>
              <m:ctrlPr>
                <w:rPr>
                  <w:rFonts w:ascii="Cambria Math" w:hAnsi="Cambria Math"/>
                  <w:i/>
                </w:rPr>
              </m:ctrlPr>
            </m:dPr>
            <m:e>
              <m:r>
                <w:rPr>
                  <w:rFonts w:ascii="Cambria Math" w:hAnsi="Cambria Math"/>
                </w:rPr>
                <m:t>u</m:t>
              </m:r>
            </m:e>
          </m:d>
          <m:r>
            <w:rPr>
              <w:rFonts w:ascii="Cambria Math" w:hAnsi="Cambria Math"/>
              <w:lang w:val="it-IT"/>
            </w:rPr>
            <m:t>=</m:t>
          </m:r>
          <m:r>
            <w:rPr>
              <w:rFonts w:ascii="Cambria Math" w:hAnsi="Cambria Math"/>
            </w:rPr>
            <m:t>E</m:t>
          </m:r>
          <m:r>
            <w:rPr>
              <w:rFonts w:ascii="Cambria Math" w:hAnsi="Cambria Math"/>
              <w:lang w:val="it-IT"/>
            </w:rPr>
            <m:t>[</m:t>
          </m:r>
          <m:r>
            <w:rPr>
              <w:rFonts w:ascii="Cambria Math" w:hAnsi="Cambria Math"/>
            </w:rPr>
            <m:t>X</m:t>
          </m:r>
          <m:r>
            <w:rPr>
              <w:rFonts w:ascii="Cambria Math" w:hAnsi="Cambria Math"/>
              <w:lang w:val="it-IT"/>
            </w:rPr>
            <m:t>-</m:t>
          </m:r>
          <m:r>
            <w:rPr>
              <w:rFonts w:ascii="Cambria Math" w:hAnsi="Cambria Math"/>
            </w:rPr>
            <m:t>u</m:t>
          </m:r>
          <m:r>
            <w:rPr>
              <w:rFonts w:ascii="Cambria Math" w:hAnsi="Cambria Math"/>
              <w:lang w:val="it-IT"/>
            </w:rPr>
            <m:t>|</m:t>
          </m:r>
          <m:r>
            <w:rPr>
              <w:rFonts w:ascii="Cambria Math" w:hAnsi="Cambria Math"/>
            </w:rPr>
            <m:t>X</m:t>
          </m:r>
          <m:r>
            <w:rPr>
              <w:rFonts w:ascii="Cambria Math" w:hAnsi="Cambria Math"/>
              <w:lang w:val="it-IT"/>
            </w:rPr>
            <m:t>&gt;</m:t>
          </m:r>
          <m:r>
            <w:rPr>
              <w:rFonts w:ascii="Cambria Math" w:hAnsi="Cambria Math"/>
            </w:rPr>
            <m:t>u</m:t>
          </m:r>
          <m:r>
            <w:rPr>
              <w:rFonts w:ascii="Cambria Math" w:hAnsi="Cambria Math"/>
              <w:lang w:val="it-IT"/>
            </w:rPr>
            <m:t>]</m:t>
          </m:r>
        </m:oMath>
      </m:oMathPara>
    </w:p>
    <w:p w:rsidR="001A2778" w:rsidRDefault="00A1413E" w:rsidP="00A1413E">
      <w:pPr>
        <w:pStyle w:val="Lgende"/>
        <w:jc w:val="center"/>
      </w:pPr>
      <w:bookmarkStart w:id="21" w:name="_Ref26562113"/>
      <w:r>
        <w:t xml:space="preserve">Equation </w:t>
      </w:r>
      <w:fldSimple w:instr=" SEQ Équation \* ARABIC ">
        <w:r>
          <w:rPr>
            <w:noProof/>
          </w:rPr>
          <w:t>9</w:t>
        </w:r>
      </w:fldSimple>
      <w:bookmarkEnd w:id="21"/>
      <w:r>
        <w:t xml:space="preserve">. </w:t>
      </w:r>
      <w:r w:rsidR="001A2778">
        <w:t>Definition of the Mean Excess function.</w:t>
      </w:r>
    </w:p>
    <w:p w:rsidR="00A43B11" w:rsidRDefault="00AB4F7C" w:rsidP="00E5234A">
      <w:pPr>
        <w:rPr>
          <w:rFonts w:eastAsiaTheme="minorEastAsia"/>
        </w:rPr>
      </w:pPr>
      <w:r>
        <w:rPr>
          <w:rFonts w:eastAsiaTheme="minorEastAsia"/>
        </w:rPr>
        <w:t>T</w:t>
      </w:r>
      <w:r w:rsidR="00C40F1C">
        <w:rPr>
          <w:rFonts w:eastAsiaTheme="minorEastAsia"/>
        </w:rPr>
        <w:t xml:space="preserve">he empirical ME function, </w:t>
      </w:r>
      <w:r w:rsidR="00E5234A">
        <w:rPr>
          <w:rFonts w:eastAsiaTheme="minorEastAsia"/>
        </w:rPr>
        <w:t xml:space="preserve">defined in </w:t>
      </w:r>
      <w:r w:rsidR="00935A97">
        <w:fldChar w:fldCharType="begin"/>
      </w:r>
      <w:r w:rsidR="00C40F1C">
        <w:rPr>
          <w:rFonts w:eastAsiaTheme="minorEastAsia"/>
        </w:rPr>
        <w:instrText xml:space="preserve"> REF _Ref26562155 \h </w:instrText>
      </w:r>
      <w:r w:rsidR="00935A97">
        <w:fldChar w:fldCharType="separate"/>
      </w:r>
      <w:r w:rsidR="00C40F1C">
        <w:t xml:space="preserve">Equation </w:t>
      </w:r>
      <w:r w:rsidR="00C40F1C">
        <w:rPr>
          <w:noProof/>
        </w:rPr>
        <w:t>10</w:t>
      </w:r>
      <w:r w:rsidR="00935A97">
        <w:fldChar w:fldCharType="end"/>
      </w:r>
      <w:r w:rsidR="00C40F1C">
        <w:t>,</w:t>
      </w:r>
      <w:r w:rsidRPr="00AB4F7C">
        <w:rPr>
          <w:lang w:val="en-US"/>
        </w:rPr>
        <w:t xml:space="preserve"> </w:t>
      </w:r>
      <w:r>
        <w:rPr>
          <w:rFonts w:eastAsiaTheme="minorEastAsia"/>
        </w:rPr>
        <w:t xml:space="preserve">is </w:t>
      </w:r>
      <w:r>
        <w:rPr>
          <w:lang w:val="en-US"/>
        </w:rPr>
        <w:t xml:space="preserve">an estimate of </w:t>
      </w:r>
      <m:oMath>
        <m:r>
          <w:rPr>
            <w:rFonts w:ascii="Cambria Math" w:hAnsi="Cambria Math"/>
          </w:rPr>
          <m:t>ME</m:t>
        </m:r>
        <m:d>
          <m:dPr>
            <m:ctrlPr>
              <w:rPr>
                <w:rFonts w:ascii="Cambria Math" w:hAnsi="Cambria Math"/>
                <w:i/>
              </w:rPr>
            </m:ctrlPr>
          </m:dPr>
          <m:e>
            <m:r>
              <w:rPr>
                <w:rFonts w:ascii="Cambria Math" w:hAnsi="Cambria Math"/>
              </w:rPr>
              <m:t>u</m:t>
            </m:r>
          </m:e>
        </m:d>
      </m:oMath>
      <w:r w:rsidR="00E5234A">
        <w:rPr>
          <w:rFonts w:eastAsiaTheme="minorEastAsia"/>
        </w:rPr>
        <w:t xml:space="preserve">, </w:t>
      </w:r>
      <w:r w:rsidR="00A43B11">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&gt;u]</m:t>
            </m:r>
          </m:sub>
        </m:sSub>
      </m:oMath>
      <w:r w:rsidR="00A43B11">
        <w:rPr>
          <w:rFonts w:eastAsiaTheme="minorEastAsia"/>
        </w:rPr>
        <w:t xml:space="preserve"> is the indicator function, which is equal to 1 if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&gt;u</m:t>
        </m:r>
      </m:oMath>
      <w:r w:rsidR="00A43B11">
        <w:rPr>
          <w:rFonts w:eastAsiaTheme="minorEastAsia"/>
        </w:rPr>
        <w:t xml:space="preserve"> and 0 otherwise and</w:t>
      </w:r>
      <w:r w:rsidR="00E5234A">
        <w:rPr>
          <w:rFonts w:eastAsiaTheme="minorEastAsia"/>
        </w:rPr>
        <w:t xml:space="preserve"> </w:t>
      </w:r>
      <w:r w:rsidR="00E5234A">
        <w:rPr>
          <w:rFonts w:eastAsiaTheme="minorEastAsia"/>
          <w:i/>
        </w:rPr>
        <w:t>u&gt;0</w:t>
      </w:r>
      <w:r w:rsidR="00E5234A">
        <w:rPr>
          <w:rFonts w:eastAsiaTheme="minorEastAsia"/>
        </w:rPr>
        <w:t>.</w:t>
      </w:r>
    </w:p>
    <w:p w:rsidR="006C632D" w:rsidRDefault="00935A97" w:rsidP="006C632D">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ME</m:t>
              </m:r>
            </m:e>
          </m:acc>
          <m:r>
            <w:rPr>
              <w:rFonts w:ascii="Cambria Math" w:eastAsiaTheme="minorEastAsia" w:hAnsi="Cambria Math"/>
            </w:rPr>
            <m:t>(u)=</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T</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e>
              </m:nary>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&gt;u]</m:t>
                  </m:r>
                </m:sub>
              </m:sSub>
            </m:num>
            <m:den>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&gt;u]</m:t>
                      </m:r>
                    </m:sub>
                  </m:sSub>
                </m:e>
              </m:nary>
            </m:den>
          </m:f>
        </m:oMath>
      </m:oMathPara>
    </w:p>
    <w:p w:rsidR="006C632D" w:rsidRDefault="006C632D" w:rsidP="006C632D">
      <w:pPr>
        <w:pStyle w:val="Lgende"/>
        <w:jc w:val="center"/>
        <w:rPr>
          <w:rFonts w:eastAsiaTheme="minorEastAsia"/>
        </w:rPr>
      </w:pPr>
      <w:bookmarkStart w:id="22" w:name="_Ref26562155"/>
      <w:r>
        <w:t xml:space="preserve">Equation </w:t>
      </w:r>
      <w:fldSimple w:instr=" SEQ Équation \* ARABIC ">
        <w:r>
          <w:rPr>
            <w:noProof/>
          </w:rPr>
          <w:t>10</w:t>
        </w:r>
      </w:fldSimple>
      <w:bookmarkEnd w:id="22"/>
      <w:r>
        <w:t>. Empirical estimate of the mean excess function.</w:t>
      </w:r>
    </w:p>
    <w:p w:rsidR="00874671" w:rsidRPr="00874671" w:rsidRDefault="00E5234A" w:rsidP="00E5234A">
      <w:pPr>
        <w:rPr>
          <w:rFonts w:eastAsiaTheme="minorEastAsia"/>
        </w:rPr>
      </w:pPr>
      <w:r>
        <w:rPr>
          <w:rFonts w:eastAsiaTheme="minorEastAsia"/>
        </w:rPr>
        <w:lastRenderedPageBreak/>
        <w:t>Denot</w:t>
      </w:r>
      <w:r w:rsidR="00AB4F7C">
        <w:rPr>
          <w:rFonts w:eastAsiaTheme="minorEastAsia"/>
        </w:rPr>
        <w:t>ed</w:t>
      </w:r>
      <w:r>
        <w:rPr>
          <w:rFonts w:eastAsiaTheme="minorEastAsia"/>
        </w:rPr>
        <w:t xml:space="preserve"> by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oMath>
      <w:r>
        <w:rPr>
          <w:rFonts w:eastAsiaTheme="minorEastAsia"/>
        </w:rPr>
        <w:t xml:space="preserve"> the order statistics of order </w:t>
      </w:r>
      <w:r w:rsidRPr="00E5234A">
        <w:rPr>
          <w:rFonts w:eastAsiaTheme="minorEastAsia"/>
          <w:i/>
        </w:rPr>
        <w:t>k</w:t>
      </w:r>
      <w:r w:rsidRPr="00E5234A">
        <w:rPr>
          <w:rFonts w:eastAsiaTheme="minorEastAsia"/>
        </w:rPr>
        <w:t>,</w:t>
      </w:r>
      <w:r>
        <w:rPr>
          <w:rFonts w:eastAsiaTheme="minorEastAsia"/>
        </w:rPr>
        <w:t xml:space="preserve"> the ME plot is a plot of the </w:t>
      </w:r>
      <w:r w:rsidR="00874671">
        <w:rPr>
          <w:rFonts w:eastAsiaTheme="minorEastAsia"/>
        </w:rPr>
        <w:t xml:space="preserve">points </w:t>
      </w:r>
      <m:oMath>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ME</m:t>
                    </m:r>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d>
                          <m:dPr>
                            <m:ctrlPr>
                              <w:rPr>
                                <w:rFonts w:ascii="Cambria Math" w:eastAsiaTheme="minorEastAsia" w:hAnsi="Cambria Math"/>
                                <w:i/>
                              </w:rPr>
                            </m:ctrlPr>
                          </m:dPr>
                          <m:e>
                            <m:r>
                              <w:rPr>
                                <w:rFonts w:ascii="Cambria Math" w:eastAsiaTheme="minorEastAsia" w:hAnsi="Cambria Math"/>
                              </w:rPr>
                              <m:t>k</m:t>
                            </m:r>
                          </m:e>
                        </m:d>
                      </m:sub>
                    </m:sSub>
                  </m:e>
                </m:d>
                <m:r>
                  <w:rPr>
                    <w:rFonts w:ascii="Cambria Math" w:eastAsiaTheme="minorEastAsia" w:hAnsi="Cambria Math"/>
                  </w:rPr>
                  <m:t>:1&lt;k&lt;T</m:t>
                </m:r>
              </m:e>
            </m:d>
          </m:e>
        </m:d>
      </m:oMath>
      <w:r w:rsidR="0031242E">
        <w:rPr>
          <w:rFonts w:eastAsiaTheme="minorEastAsia"/>
        </w:rPr>
        <w:t xml:space="preserve">. </w:t>
      </w:r>
      <w:r w:rsidR="00874671">
        <w:rPr>
          <w:rFonts w:eastAsiaTheme="minorEastAsia"/>
        </w:rPr>
        <w:t>For the GPD to be well defined, it is required for the empirical ME plot to be linear in the region where the threshold</w:t>
      </w:r>
      <w:r w:rsidR="00874671">
        <w:rPr>
          <w:rFonts w:eastAsiaTheme="minorEastAsia"/>
          <w:i/>
        </w:rPr>
        <w:t xml:space="preserve"> u</w:t>
      </w:r>
      <w:r w:rsidR="00874671">
        <w:rPr>
          <w:rFonts w:eastAsiaTheme="minorEastAsia"/>
        </w:rPr>
        <w:t xml:space="preserve"> is selected. An example of empirical </w:t>
      </w:r>
      <w:proofErr w:type="gramStart"/>
      <w:r w:rsidR="00874671">
        <w:rPr>
          <w:rFonts w:eastAsiaTheme="minorEastAsia"/>
        </w:rPr>
        <w:t>ME</w:t>
      </w:r>
      <w:proofErr w:type="gramEnd"/>
      <w:r w:rsidR="00874671">
        <w:rPr>
          <w:rFonts w:eastAsiaTheme="minorEastAsia"/>
        </w:rPr>
        <w:t xml:space="preserve"> plot and linear region of selection of the parameter </w:t>
      </w:r>
      <w:r w:rsidR="00874671">
        <w:rPr>
          <w:rFonts w:eastAsiaTheme="minorEastAsia"/>
          <w:i/>
        </w:rPr>
        <w:t>u</w:t>
      </w:r>
      <w:r w:rsidR="00CD7BEE">
        <w:rPr>
          <w:rFonts w:eastAsiaTheme="minorEastAsia"/>
        </w:rPr>
        <w:t xml:space="preserve"> is presented in </w:t>
      </w:r>
      <w:r w:rsidR="00935A97">
        <w:fldChar w:fldCharType="begin"/>
      </w:r>
      <w:r w:rsidR="00596647">
        <w:rPr>
          <w:rFonts w:eastAsiaTheme="minorEastAsia"/>
        </w:rPr>
        <w:instrText xml:space="preserve"> REF _Ref25354442 \h </w:instrText>
      </w:r>
      <w:r w:rsidR="00935A97">
        <w:fldChar w:fldCharType="separate"/>
      </w:r>
      <w:r w:rsidR="00596647">
        <w:t xml:space="preserve">Figure </w:t>
      </w:r>
      <w:r w:rsidR="00596647">
        <w:rPr>
          <w:noProof/>
        </w:rPr>
        <w:t>3</w:t>
      </w:r>
      <w:r w:rsidR="00935A97">
        <w:fldChar w:fldCharType="end"/>
      </w:r>
      <w:r w:rsidR="00874671">
        <w:rPr>
          <w:rFonts w:eastAsiaTheme="minorEastAsia"/>
        </w:rPr>
        <w:t>.</w:t>
      </w:r>
    </w:p>
    <w:p w:rsidR="00AB39D7" w:rsidRDefault="00C62926" w:rsidP="00BE48FF">
      <w:pPr>
        <w:jc w:val="center"/>
      </w:pPr>
      <w:r>
        <w:rPr>
          <w:noProof/>
          <w:lang w:val="fr-FR" w:eastAsia="fr-FR"/>
        </w:rPr>
        <w:drawing>
          <wp:inline distT="0" distB="0" distL="0" distR="0">
            <wp:extent cx="3251200" cy="2476500"/>
            <wp:effectExtent l="0" t="0" r="0" b="0"/>
            <wp:docPr id="4" name="Image 4" descr="me_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_plot"/>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51200" cy="2476500"/>
                    </a:xfrm>
                    <a:prstGeom prst="rect">
                      <a:avLst/>
                    </a:prstGeom>
                    <a:noFill/>
                    <a:ln>
                      <a:noFill/>
                    </a:ln>
                  </pic:spPr>
                </pic:pic>
              </a:graphicData>
            </a:graphic>
          </wp:inline>
        </w:drawing>
      </w:r>
    </w:p>
    <w:p w:rsidR="00C355AF" w:rsidRDefault="00C355AF" w:rsidP="00C355AF">
      <w:pPr>
        <w:pStyle w:val="Lgende"/>
        <w:jc w:val="center"/>
      </w:pPr>
      <w:bookmarkStart w:id="23" w:name="_Ref25354442"/>
      <w:r>
        <w:t xml:space="preserve">Figure </w:t>
      </w:r>
      <w:fldSimple w:instr=" SEQ Figure \* ARABIC ">
        <w:r w:rsidR="00E90C2F">
          <w:rPr>
            <w:noProof/>
          </w:rPr>
          <w:t>3</w:t>
        </w:r>
      </w:fldSimple>
      <w:bookmarkEnd w:id="23"/>
      <w:r>
        <w:t>. Empirical Mean Excess plot with linear region for the threshold selection.</w:t>
      </w:r>
    </w:p>
    <w:p w:rsidR="009640E0" w:rsidRPr="009640E0" w:rsidRDefault="009640E0" w:rsidP="009640E0">
      <w:r>
        <w:t xml:space="preserve">Once the threshold </w:t>
      </w:r>
      <w:r w:rsidRPr="009640E0">
        <w:rPr>
          <w:i/>
        </w:rPr>
        <w:t>u</w:t>
      </w:r>
      <w:r>
        <w:t xml:space="preserve"> is selected, we can estimate the param</w:t>
      </w:r>
      <w:r w:rsidR="00D65E7A">
        <w:t xml:space="preserve">eters of the GPD using </w:t>
      </w:r>
      <w:r w:rsidR="00935A97">
        <w:fldChar w:fldCharType="begin"/>
      </w:r>
      <w:r w:rsidR="00D65E7A">
        <w:instrText xml:space="preserve"> REF _Ref26562335 \h </w:instrText>
      </w:r>
      <w:r w:rsidR="00935A97">
        <w:fldChar w:fldCharType="separate"/>
      </w:r>
      <w:r w:rsidR="00D65E7A">
        <w:t xml:space="preserve">Equation </w:t>
      </w:r>
      <w:r w:rsidR="00D65E7A">
        <w:rPr>
          <w:noProof/>
        </w:rPr>
        <w:t>11</w:t>
      </w:r>
      <w:r w:rsidR="00935A97">
        <w:fldChar w:fldCharType="end"/>
      </w:r>
      <w:r>
        <w:t xml:space="preserve">. In this equation, </w:t>
      </w:r>
      <m:oMath>
        <m:acc>
          <m:accPr>
            <m:ctrlPr>
              <w:rPr>
                <w:rFonts w:ascii="Cambria Math" w:hAnsi="Cambria Math"/>
                <w:i/>
              </w:rPr>
            </m:ctrlPr>
          </m:accPr>
          <m:e>
            <m:r>
              <w:rPr>
                <w:rFonts w:ascii="Cambria Math" w:hAnsi="Cambria Math"/>
              </w:rPr>
              <m:t>m</m:t>
            </m:r>
          </m:e>
        </m:acc>
      </m:oMath>
      <w:r>
        <w:rPr>
          <w:rFonts w:eastAsiaTheme="minorEastAsia"/>
        </w:rPr>
        <w:t xml:space="preserve"> and </w:t>
      </w:r>
      <m:oMath>
        <m:sSup>
          <m:sSupPr>
            <m:ctrlPr>
              <w:rPr>
                <w:rFonts w:ascii="Cambria Math" w:hAnsi="Cambria Math"/>
                <w:i/>
              </w:rPr>
            </m:ctrlPr>
          </m:sSupPr>
          <m:e>
            <m:r>
              <w:rPr>
                <w:rFonts w:ascii="Cambria Math" w:hAnsi="Cambria Math"/>
              </w:rPr>
              <m:t>S</m:t>
            </m:r>
          </m:e>
          <m:sup>
            <m:r>
              <w:rPr>
                <w:rFonts w:ascii="Cambria Math" w:hAnsi="Cambria Math"/>
              </w:rPr>
              <m:t>2</m:t>
            </m:r>
          </m:sup>
        </m:sSup>
      </m:oMath>
      <w:r>
        <w:rPr>
          <w:rFonts w:eastAsiaTheme="minorEastAsia"/>
        </w:rPr>
        <w:t xml:space="preserve"> represent the empirical mean and variance of portfolio losses above the threshold </w:t>
      </w:r>
      <w:r w:rsidRPr="009640E0">
        <w:rPr>
          <w:i/>
        </w:rPr>
        <w:t>u</w:t>
      </w:r>
      <w:r>
        <w:t>.</w:t>
      </w:r>
    </w:p>
    <w:p w:rsidR="009640E0" w:rsidRDefault="00935A97" w:rsidP="009640E0">
      <w:pPr>
        <w:jc w:val="center"/>
        <w:rPr>
          <w:rFonts w:eastAsiaTheme="minorEastAsia"/>
        </w:rPr>
      </w:pPr>
      <m:oMath>
        <m:acc>
          <m:accPr>
            <m:ctrlPr>
              <w:rPr>
                <w:rFonts w:ascii="Cambria Math" w:hAnsi="Cambria Math"/>
                <w:i/>
              </w:rPr>
            </m:ctrlPr>
          </m:accPr>
          <m:e>
            <m:r>
              <w:rPr>
                <w:rFonts w:ascii="Cambria Math" w:hAnsi="Cambria Math"/>
              </w:rPr>
              <m:t>ξ</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m:t>
                    </m:r>
                    <m:acc>
                      <m:accPr>
                        <m:ctrlPr>
                          <w:rPr>
                            <w:rFonts w:ascii="Cambria Math" w:hAnsi="Cambria Math"/>
                            <w:i/>
                          </w:rPr>
                        </m:ctrlPr>
                      </m:accPr>
                      <m:e>
                        <m:r>
                          <w:rPr>
                            <w:rFonts w:ascii="Cambria Math" w:hAnsi="Cambria Math"/>
                          </w:rPr>
                          <m:t>m</m:t>
                        </m:r>
                      </m:e>
                    </m:acc>
                    <m:r>
                      <w:rPr>
                        <w:rFonts w:ascii="Cambria Math" w:hAnsi="Cambria Math"/>
                      </w:rPr>
                      <m:t>-u)</m:t>
                    </m:r>
                  </m:e>
                  <m:sup>
                    <m:r>
                      <w:rPr>
                        <w:rFonts w:ascii="Cambria Math" w:hAnsi="Cambria Math"/>
                      </w:rPr>
                      <m:t>2</m:t>
                    </m:r>
                  </m:sup>
                </m:sSup>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oMath>
      <w:r w:rsidR="009640E0">
        <w:rPr>
          <w:rFonts w:eastAsiaTheme="minorEastAsia"/>
        </w:rPr>
        <w:t xml:space="preserve"> ,   </w:t>
      </w:r>
      <m:oMath>
        <m:acc>
          <m:accPr>
            <m:ctrlPr>
              <w:rPr>
                <w:rFonts w:ascii="Cambria Math" w:eastAsiaTheme="minorEastAsia" w:hAnsi="Cambria Math"/>
                <w:i/>
              </w:rPr>
            </m:ctrlPr>
          </m:accPr>
          <m:e>
            <m:r>
              <w:rPr>
                <w:rFonts w:ascii="Cambria Math" w:eastAsiaTheme="minorEastAsia" w:hAnsi="Cambria Math"/>
              </w:rPr>
              <m:t>σ</m:t>
            </m:r>
          </m:e>
        </m:acc>
        <m:r>
          <w:rPr>
            <w:rFonts w:ascii="Cambria Math" w:eastAsiaTheme="minorEastAsia" w:hAnsi="Cambria Math"/>
          </w:rPr>
          <m:t>=</m:t>
        </m:r>
        <m:f>
          <m:fPr>
            <m:ctrlPr>
              <w:rPr>
                <w:rFonts w:ascii="Cambria Math" w:eastAsiaTheme="minorEastAsia" w:hAnsi="Cambria Math"/>
                <w:i/>
              </w:rPr>
            </m:ctrlPr>
          </m:fPr>
          <m:num>
            <m:acc>
              <m:accPr>
                <m:ctrlPr>
                  <w:rPr>
                    <w:rFonts w:ascii="Cambria Math" w:hAnsi="Cambria Math"/>
                    <w:i/>
                  </w:rPr>
                </m:ctrlPr>
              </m:accPr>
              <m:e>
                <m:r>
                  <w:rPr>
                    <w:rFonts w:ascii="Cambria Math" w:hAnsi="Cambria Math"/>
                  </w:rPr>
                  <m:t>m</m:t>
                </m:r>
              </m:e>
            </m:acc>
            <m:r>
              <w:rPr>
                <w:rFonts w:ascii="Cambria Math" w:hAnsi="Cambria Math"/>
              </w:rPr>
              <m:t>-u</m:t>
            </m:r>
          </m:num>
          <m:den>
            <m:r>
              <w:rPr>
                <w:rFonts w:ascii="Cambria Math" w:eastAsiaTheme="minorEastAsia" w:hAnsi="Cambria Math"/>
              </w:rPr>
              <m:t>2</m:t>
            </m:r>
          </m:den>
        </m:f>
        <m:d>
          <m:dPr>
            <m:ctrlPr>
              <w:rPr>
                <w:rFonts w:ascii="Cambria Math" w:eastAsiaTheme="minorEastAsia"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acc>
                      <m:accPr>
                        <m:ctrlPr>
                          <w:rPr>
                            <w:rFonts w:ascii="Cambria Math" w:hAnsi="Cambria Math"/>
                            <w:i/>
                          </w:rPr>
                        </m:ctrlPr>
                      </m:accPr>
                      <m:e>
                        <m:r>
                          <w:rPr>
                            <w:rFonts w:ascii="Cambria Math" w:hAnsi="Cambria Math"/>
                          </w:rPr>
                          <m:t>m</m:t>
                        </m:r>
                      </m:e>
                    </m:acc>
                    <m:r>
                      <w:rPr>
                        <w:rFonts w:ascii="Cambria Math" w:hAnsi="Cambria Math"/>
                      </w:rPr>
                      <m:t>-u)</m:t>
                    </m:r>
                  </m:e>
                  <m:sup>
                    <m:r>
                      <w:rPr>
                        <w:rFonts w:ascii="Cambria Math" w:hAnsi="Cambria Math"/>
                      </w:rPr>
                      <m:t>2</m:t>
                    </m:r>
                  </m:sup>
                </m:sSup>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+1</m:t>
            </m:r>
          </m:e>
        </m:d>
      </m:oMath>
    </w:p>
    <w:p w:rsidR="009640E0" w:rsidRDefault="00A1413E" w:rsidP="00A1413E">
      <w:pPr>
        <w:pStyle w:val="Lgende"/>
        <w:jc w:val="center"/>
      </w:pPr>
      <w:bookmarkStart w:id="24" w:name="_Ref26562335"/>
      <w:r>
        <w:t xml:space="preserve">Equation </w:t>
      </w:r>
      <w:fldSimple w:instr=" SEQ Équation \* ARABIC ">
        <w:r>
          <w:rPr>
            <w:noProof/>
          </w:rPr>
          <w:t>11</w:t>
        </w:r>
      </w:fldSimple>
      <w:bookmarkEnd w:id="24"/>
      <w:r w:rsidR="009640E0">
        <w:t>. Formula</w:t>
      </w:r>
      <w:r w:rsidR="00525775">
        <w:t>e</w:t>
      </w:r>
      <w:r w:rsidR="009640E0">
        <w:t xml:space="preserve"> to estimate the parameters of the GPD.</w:t>
      </w:r>
    </w:p>
    <w:p w:rsidR="009640E0" w:rsidRPr="009A1D98" w:rsidRDefault="009640E0" w:rsidP="009640E0">
      <w:r>
        <w:t xml:space="preserve">Finally, we can </w:t>
      </w:r>
      <w:r w:rsidR="00AB4F7C">
        <w:t xml:space="preserve">calculate </w:t>
      </w:r>
      <w:r>
        <w:t xml:space="preserve">estimates of VaR and ES using </w:t>
      </w:r>
      <w:r w:rsidR="00935A97">
        <w:fldChar w:fldCharType="begin"/>
      </w:r>
      <w:r w:rsidR="00376674">
        <w:instrText xml:space="preserve"> REF _Ref26562408 \h </w:instrText>
      </w:r>
      <w:r w:rsidR="00935A97">
        <w:fldChar w:fldCharType="separate"/>
      </w:r>
      <w:r w:rsidR="00376674">
        <w:t xml:space="preserve">Equation </w:t>
      </w:r>
      <w:r w:rsidR="00376674">
        <w:rPr>
          <w:noProof/>
        </w:rPr>
        <w:t>12</w:t>
      </w:r>
      <w:r w:rsidR="00935A97">
        <w:fldChar w:fldCharType="end"/>
      </w:r>
      <w:r w:rsidR="009A1D98">
        <w:t xml:space="preserve"> and </w:t>
      </w:r>
      <w:r w:rsidR="00935A97">
        <w:fldChar w:fldCharType="begin"/>
      </w:r>
      <w:r w:rsidR="00376674">
        <w:instrText xml:space="preserve"> REF _Ref26562422 \h </w:instrText>
      </w:r>
      <w:r w:rsidR="00935A97">
        <w:fldChar w:fldCharType="separate"/>
      </w:r>
      <w:r w:rsidR="00376674">
        <w:t xml:space="preserve">Equation </w:t>
      </w:r>
      <w:r w:rsidR="00376674">
        <w:rPr>
          <w:noProof/>
        </w:rPr>
        <w:t>13</w:t>
      </w:r>
      <w:r w:rsidR="00935A97">
        <w:fldChar w:fldCharType="end"/>
      </w:r>
      <w:r>
        <w:t>.</w:t>
      </w:r>
    </w:p>
    <w:p w:rsidR="009640E0" w:rsidRDefault="00935A97" w:rsidP="009640E0">
      <w:pPr>
        <w:rPr>
          <w:rFonts w:eastAsiaTheme="minorEastAsia"/>
        </w:rPr>
      </w:pPr>
      <m:oMathPara>
        <m:oMath>
          <m:acc>
            <m:accPr>
              <m:ctrlPr>
                <w:rPr>
                  <w:rFonts w:ascii="Cambria Math" w:hAnsi="Cambria Math"/>
                  <w:i/>
                </w:rPr>
              </m:ctrlPr>
            </m:accPr>
            <m:e>
              <m:r>
                <w:rPr>
                  <w:rFonts w:ascii="Cambria Math" w:hAnsi="Cambria Math"/>
                </w:rPr>
                <m:t>VaR</m:t>
              </m:r>
            </m:e>
          </m:acc>
          <m:d>
            <m:dPr>
              <m:ctrlPr>
                <w:rPr>
                  <w:rFonts w:ascii="Cambria Math" w:hAnsi="Cambria Math"/>
                  <w:i/>
                </w:rPr>
              </m:ctrlPr>
            </m:dPr>
            <m:e>
              <m:r>
                <w:rPr>
                  <w:rFonts w:ascii="Cambria Math" w:hAnsi="Cambria Math"/>
                </w:rPr>
                <m:t>a,α</m:t>
              </m:r>
            </m:e>
          </m:d>
          <m:r>
            <w:rPr>
              <w:rFonts w:ascii="Cambria Math" w:hAnsi="Cambria Math"/>
            </w:rPr>
            <m:t>=</m:t>
          </m:r>
          <m:acc>
            <m:accPr>
              <m:chr m:val="̃"/>
              <m:ctrlPr>
                <w:rPr>
                  <w:rFonts w:ascii="Cambria Math" w:hAnsi="Cambria Math"/>
                  <w:i/>
                </w:rPr>
              </m:ctrlPr>
            </m:accPr>
            <m:e>
              <m:r>
                <w:rPr>
                  <w:rFonts w:ascii="Cambria Math" w:hAnsi="Cambria Math"/>
                </w:rPr>
                <m:t>μ</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σ</m:t>
                  </m:r>
                </m:e>
              </m:acc>
            </m:num>
            <m:den>
              <m:acc>
                <m:accPr>
                  <m:ctrlPr>
                    <w:rPr>
                      <w:rFonts w:ascii="Cambria Math" w:hAnsi="Cambria Math"/>
                      <w:i/>
                    </w:rPr>
                  </m:ctrlPr>
                </m:accPr>
                <m:e>
                  <m:r>
                    <w:rPr>
                      <w:rFonts w:ascii="Cambria Math" w:hAnsi="Cambria Math"/>
                    </w:rPr>
                    <m:t>ξ</m:t>
                  </m:r>
                </m:e>
              </m:acc>
            </m:den>
          </m:f>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m:t>
                  </m:r>
                  <m:acc>
                    <m:accPr>
                      <m:ctrlPr>
                        <w:rPr>
                          <w:rFonts w:ascii="Cambria Math" w:hAnsi="Cambria Math"/>
                          <w:i/>
                        </w:rPr>
                      </m:ctrlPr>
                    </m:accPr>
                    <m:e>
                      <m:r>
                        <w:rPr>
                          <w:rFonts w:ascii="Cambria Math" w:hAnsi="Cambria Math"/>
                        </w:rPr>
                        <m:t>ξ</m:t>
                      </m:r>
                    </m:e>
                  </m:acc>
                </m:sup>
              </m:sSup>
              <m:r>
                <w:rPr>
                  <w:rFonts w:ascii="Cambria Math" w:hAnsi="Cambria Math"/>
                </w:rPr>
                <m:t>-1</m:t>
              </m:r>
            </m:e>
          </m:d>
        </m:oMath>
      </m:oMathPara>
    </w:p>
    <w:p w:rsidR="009A1D98" w:rsidRDefault="00A1413E" w:rsidP="00A1413E">
      <w:pPr>
        <w:pStyle w:val="Lgende"/>
        <w:jc w:val="center"/>
        <w:rPr>
          <w:rFonts w:eastAsiaTheme="minorEastAsia"/>
        </w:rPr>
      </w:pPr>
      <w:bookmarkStart w:id="25" w:name="_Ref26562408"/>
      <w:r>
        <w:t xml:space="preserve">Equation </w:t>
      </w:r>
      <w:fldSimple w:instr=" SEQ Équation \* ARABIC ">
        <w:r>
          <w:rPr>
            <w:noProof/>
          </w:rPr>
          <w:t>12</w:t>
        </w:r>
      </w:fldSimple>
      <w:bookmarkEnd w:id="25"/>
      <w:r w:rsidR="009A1D98">
        <w:t>. Estimation of VaR using the GPD.</w:t>
      </w:r>
    </w:p>
    <w:p w:rsidR="0039016E" w:rsidRDefault="00935A97" w:rsidP="009640E0">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ES</m:t>
              </m:r>
            </m:e>
          </m:acc>
          <m:d>
            <m:dPr>
              <m:ctrlPr>
                <w:rPr>
                  <w:rFonts w:ascii="Cambria Math" w:eastAsiaTheme="minorEastAsia" w:hAnsi="Cambria Math"/>
                  <w:i/>
                </w:rPr>
              </m:ctrlPr>
            </m:dPr>
            <m:e>
              <m:r>
                <w:rPr>
                  <w:rFonts w:ascii="Cambria Math" w:eastAsiaTheme="minorEastAsia" w:hAnsi="Cambria Math"/>
                </w:rPr>
                <m:t>a,α</m:t>
              </m:r>
            </m:e>
          </m:d>
          <m:r>
            <w:rPr>
              <w:rFonts w:ascii="Cambria Math" w:eastAsiaTheme="minorEastAsia" w:hAnsi="Cambria Math"/>
            </w:rPr>
            <m:t>=</m:t>
          </m:r>
          <m:acc>
            <m:accPr>
              <m:ctrlPr>
                <w:rPr>
                  <w:rFonts w:ascii="Cambria Math" w:hAnsi="Cambria Math"/>
                  <w:i/>
                </w:rPr>
              </m:ctrlPr>
            </m:accPr>
            <m:e>
              <m:r>
                <w:rPr>
                  <w:rFonts w:ascii="Cambria Math" w:hAnsi="Cambria Math"/>
                </w:rPr>
                <m:t>VaR</m:t>
              </m:r>
            </m:e>
          </m:acc>
          <m:d>
            <m:dPr>
              <m:ctrlPr>
                <w:rPr>
                  <w:rFonts w:ascii="Cambria Math" w:hAnsi="Cambria Math"/>
                  <w:i/>
                </w:rPr>
              </m:ctrlPr>
            </m:dPr>
            <m:e>
              <m:r>
                <w:rPr>
                  <w:rFonts w:ascii="Cambria Math" w:hAnsi="Cambria Math"/>
                </w:rPr>
                <m:t>a,α</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σ</m:t>
                  </m:r>
                </m:e>
              </m:acc>
            </m:num>
            <m:den>
              <m:acc>
                <m:accPr>
                  <m:ctrlPr>
                    <w:rPr>
                      <w:rFonts w:ascii="Cambria Math" w:hAnsi="Cambria Math"/>
                      <w:i/>
                    </w:rPr>
                  </m:ctrlPr>
                </m:accPr>
                <m:e>
                  <m:r>
                    <w:rPr>
                      <w:rFonts w:ascii="Cambria Math" w:hAnsi="Cambria Math"/>
                    </w:rPr>
                    <m:t>ξ</m:t>
                  </m:r>
                </m:e>
              </m:acc>
              <m:r>
                <w:rPr>
                  <w:rFonts w:ascii="Cambria Math" w:hAnsi="Cambria Math"/>
                </w:rPr>
                <m:t>-1</m:t>
              </m:r>
            </m:den>
          </m:f>
          <m:sSup>
            <m:sSupPr>
              <m:ctrlPr>
                <w:rPr>
                  <w:rFonts w:ascii="Cambria Math" w:hAnsi="Cambria Math"/>
                  <w:i/>
                </w:rPr>
              </m:ctrlPr>
            </m:sSupPr>
            <m:e>
              <m:r>
                <w:rPr>
                  <w:rFonts w:ascii="Cambria Math" w:hAnsi="Cambria Math"/>
                </w:rPr>
                <m:t>α</m:t>
              </m:r>
            </m:e>
            <m:sup>
              <m:r>
                <w:rPr>
                  <w:rFonts w:ascii="Cambria Math" w:hAnsi="Cambria Math"/>
                </w:rPr>
                <m:t>-</m:t>
              </m:r>
              <m:acc>
                <m:accPr>
                  <m:ctrlPr>
                    <w:rPr>
                      <w:rFonts w:ascii="Cambria Math" w:hAnsi="Cambria Math"/>
                      <w:i/>
                    </w:rPr>
                  </m:ctrlPr>
                </m:accPr>
                <m:e>
                  <m:r>
                    <w:rPr>
                      <w:rFonts w:ascii="Cambria Math" w:hAnsi="Cambria Math"/>
                    </w:rPr>
                    <m:t>ξ</m:t>
                  </m:r>
                </m:e>
              </m:acc>
            </m:sup>
          </m:sSup>
        </m:oMath>
      </m:oMathPara>
    </w:p>
    <w:p w:rsidR="009A1D98" w:rsidRDefault="00A1413E" w:rsidP="00A1413E">
      <w:pPr>
        <w:pStyle w:val="Lgende"/>
        <w:jc w:val="center"/>
      </w:pPr>
      <w:bookmarkStart w:id="26" w:name="_Ref26562422"/>
      <w:r>
        <w:t xml:space="preserve">Equation </w:t>
      </w:r>
      <w:fldSimple w:instr=" SEQ Équation \* ARABIC ">
        <w:r>
          <w:rPr>
            <w:noProof/>
          </w:rPr>
          <w:t>13</w:t>
        </w:r>
      </w:fldSimple>
      <w:bookmarkEnd w:id="26"/>
      <w:r w:rsidR="009A1D98">
        <w:t>. Estimation of ES using the GPD.</w:t>
      </w:r>
    </w:p>
    <w:p w:rsidR="002B09B3" w:rsidRPr="002B09B3" w:rsidRDefault="002B09B3" w:rsidP="002B09B3">
      <w:r>
        <w:t xml:space="preserve">In the previous equations, </w:t>
      </w:r>
      <m:oMath>
        <m:acc>
          <m:accPr>
            <m:chr m:val="̃"/>
            <m:ctrlPr>
              <w:rPr>
                <w:rFonts w:ascii="Cambria Math" w:hAnsi="Cambria Math"/>
                <w:i/>
              </w:rPr>
            </m:ctrlPr>
          </m:accPr>
          <m:e>
            <m:r>
              <w:rPr>
                <w:rFonts w:ascii="Cambria Math" w:hAnsi="Cambria Math"/>
              </w:rPr>
              <m:t>σ</m:t>
            </m:r>
          </m:e>
        </m:acc>
        <m:r>
          <w:rPr>
            <w:rFonts w:ascii="Cambria Math" w:hAnsi="Cambria Math"/>
          </w:rPr>
          <m:t>=</m:t>
        </m:r>
        <m:acc>
          <m:accPr>
            <m:ctrlPr>
              <w:rPr>
                <w:rFonts w:ascii="Cambria Math" w:eastAsiaTheme="minorEastAsia" w:hAnsi="Cambria Math"/>
                <w:i/>
              </w:rPr>
            </m:ctrlPr>
          </m:accPr>
          <m:e>
            <m:r>
              <w:rPr>
                <w:rFonts w:ascii="Cambria Math" w:eastAsiaTheme="minorEastAsia" w:hAnsi="Cambria Math"/>
              </w:rPr>
              <m:t>σ</m:t>
            </m:r>
          </m:e>
        </m:acc>
        <m:sSup>
          <m:sSupPr>
            <m:ctrlPr>
              <w:rPr>
                <w:rFonts w:ascii="Cambria Math" w:eastAsiaTheme="minorEastAsia" w:hAnsi="Cambria Math"/>
                <w:i/>
              </w:rPr>
            </m:ctrlPr>
          </m:sSupPr>
          <m:e>
            <m:r>
              <w:rPr>
                <w:rFonts w:ascii="Cambria Math" w:eastAsiaTheme="minorEastAsia" w:hAnsi="Cambria Math"/>
              </w:rPr>
              <m:t>(</m:t>
            </m:r>
            <m:f>
              <m:fPr>
                <m:type m:val="lin"/>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T)</m:t>
                </m:r>
              </m:den>
            </m:f>
          </m:e>
          <m:sup>
            <m:acc>
              <m:accPr>
                <m:ctrlPr>
                  <w:rPr>
                    <w:rFonts w:ascii="Cambria Math" w:hAnsi="Cambria Math"/>
                    <w:i/>
                  </w:rPr>
                </m:ctrlPr>
              </m:accPr>
              <m:e>
                <m:r>
                  <w:rPr>
                    <w:rFonts w:ascii="Cambria Math" w:hAnsi="Cambria Math"/>
                  </w:rPr>
                  <m:t>ξ</m:t>
                </m:r>
              </m:e>
            </m:acc>
          </m:sup>
        </m:sSup>
      </m:oMath>
      <w:r>
        <w:rPr>
          <w:rFonts w:eastAsiaTheme="minorEastAsia"/>
        </w:rPr>
        <w:t xml:space="preserve">, </w:t>
      </w:r>
      <m:oMath>
        <m:acc>
          <m:accPr>
            <m:chr m:val="̃"/>
            <m:ctrlPr>
              <w:rPr>
                <w:rFonts w:ascii="Cambria Math" w:hAnsi="Cambria Math"/>
                <w:i/>
              </w:rPr>
            </m:ctrlPr>
          </m:accPr>
          <m:e>
            <m:r>
              <w:rPr>
                <w:rFonts w:ascii="Cambria Math" w:hAnsi="Cambria Math"/>
              </w:rPr>
              <m:t>μ</m:t>
            </m:r>
          </m:e>
        </m:acc>
        <m:r>
          <w:rPr>
            <w:rFonts w:ascii="Cambria Math" w:eastAsiaTheme="minorEastAsia" w:hAnsi="Cambria Math"/>
          </w:rPr>
          <m:t>=u-</m:t>
        </m:r>
        <m:f>
          <m:fPr>
            <m:ctrlPr>
              <w:rPr>
                <w:rFonts w:ascii="Cambria Math" w:hAnsi="Cambria Math"/>
                <w:i/>
              </w:rPr>
            </m:ctrlPr>
          </m:fPr>
          <m:num>
            <m:acc>
              <m:accPr>
                <m:chr m:val="̃"/>
                <m:ctrlPr>
                  <w:rPr>
                    <w:rFonts w:ascii="Cambria Math" w:hAnsi="Cambria Math"/>
                    <w:i/>
                  </w:rPr>
                </m:ctrlPr>
              </m:accPr>
              <m:e>
                <m:r>
                  <w:rPr>
                    <w:rFonts w:ascii="Cambria Math" w:hAnsi="Cambria Math"/>
                  </w:rPr>
                  <m:t>σ</m:t>
                </m:r>
              </m:e>
            </m:acc>
          </m:num>
          <m:den>
            <m:acc>
              <m:accPr>
                <m:ctrlPr>
                  <w:rPr>
                    <w:rFonts w:ascii="Cambria Math" w:hAnsi="Cambria Math"/>
                    <w:i/>
                  </w:rPr>
                </m:ctrlPr>
              </m:accPr>
              <m:e>
                <m:r>
                  <w:rPr>
                    <w:rFonts w:ascii="Cambria Math" w:hAnsi="Cambria Math"/>
                  </w:rPr>
                  <m:t>ξ</m:t>
                </m:r>
              </m:e>
            </m:acc>
          </m:den>
        </m:f>
        <m:d>
          <m:dPr>
            <m:begChr m:val="["/>
            <m:endChr m:val="]"/>
            <m:ctrlPr>
              <w:rPr>
                <w:rFonts w:ascii="Cambria Math" w:hAnsi="Cambria Math"/>
                <w:i/>
              </w:rPr>
            </m:ctrlPr>
          </m:dPr>
          <m:e>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m:t>
                    </m:r>
                    <m:f>
                      <m:fPr>
                        <m:type m:val="lin"/>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T)</m:t>
                        </m:r>
                      </m:den>
                    </m:f>
                  </m:e>
                  <m:sup>
                    <m:r>
                      <w:rPr>
                        <w:rFonts w:ascii="Cambria Math" w:eastAsiaTheme="minorEastAsia" w:hAnsi="Cambria Math"/>
                      </w:rPr>
                      <m:t>-</m:t>
                    </m:r>
                    <m:acc>
                      <m:accPr>
                        <m:ctrlPr>
                          <w:rPr>
                            <w:rFonts w:ascii="Cambria Math" w:hAnsi="Cambria Math"/>
                            <w:i/>
                          </w:rPr>
                        </m:ctrlPr>
                      </m:accPr>
                      <m:e>
                        <m:r>
                          <w:rPr>
                            <w:rFonts w:ascii="Cambria Math" w:hAnsi="Cambria Math"/>
                          </w:rPr>
                          <m:t>ξ</m:t>
                        </m:r>
                      </m:e>
                    </m:acc>
                  </m:sup>
                </m:sSup>
                <m:r>
                  <w:rPr>
                    <w:rFonts w:ascii="Cambria Math" w:eastAsiaTheme="minorEastAsia" w:hAnsi="Cambria Math"/>
                  </w:rPr>
                  <m:t>-1</m:t>
                </m:r>
              </m:e>
            </m:d>
          </m:e>
        </m:d>
        <m:r>
          <w:rPr>
            <w:rFonts w:ascii="Cambria Math" w:hAnsi="Cambria Math"/>
          </w:rPr>
          <m:t xml:space="preserve"> </m:t>
        </m:r>
      </m:oMath>
      <w:r>
        <w:rPr>
          <w:rFonts w:eastAsiaTheme="minorEastAsia"/>
        </w:rPr>
        <w:t xml:space="preserve">and </w:t>
      </w:r>
      <w:r w:rsidRPr="009A1D98">
        <w:rPr>
          <w:rFonts w:eastAsiaTheme="minorEastAsia"/>
          <w:i/>
        </w:rPr>
        <w:t>N</w:t>
      </w:r>
      <w:r>
        <w:rPr>
          <w:rFonts w:eastAsiaTheme="minorEastAsia"/>
        </w:rPr>
        <w:t xml:space="preserve"> is the number of observed losses above the threshold </w:t>
      </w:r>
      <w:r w:rsidRPr="009640E0">
        <w:rPr>
          <w:i/>
        </w:rPr>
        <w:t>u</w:t>
      </w:r>
      <w:r>
        <w:t>.</w:t>
      </w:r>
    </w:p>
    <w:p w:rsidR="00CC0721" w:rsidRDefault="00CC0721" w:rsidP="00CF18C6">
      <w:pPr>
        <w:pStyle w:val="Titre3"/>
        <w:numPr>
          <w:ilvl w:val="1"/>
          <w:numId w:val="3"/>
        </w:numPr>
      </w:pPr>
      <w:bookmarkStart w:id="27" w:name="_Toc25585444"/>
      <w:r>
        <w:t>Empirical confidence interval</w:t>
      </w:r>
      <w:r w:rsidR="002E67ED">
        <w:t>s</w:t>
      </w:r>
      <w:r>
        <w:t xml:space="preserve"> using sub</w:t>
      </w:r>
      <w:r w:rsidR="007E69EF">
        <w:t>-</w:t>
      </w:r>
      <w:r>
        <w:t>sampling</w:t>
      </w:r>
      <w:bookmarkEnd w:id="27"/>
    </w:p>
    <w:p w:rsidR="00CC0721" w:rsidRDefault="004421DE" w:rsidP="000172A6">
      <w:r>
        <w:t xml:space="preserve">When estimating a parameter of interest, it is important to evaluate the uncertainty affecting its validity as well </w:t>
      </w:r>
      <w:r w:rsidR="00AB4F7C">
        <w:t xml:space="preserve">as </w:t>
      </w:r>
      <w:r>
        <w:t>i</w:t>
      </w:r>
      <w:r w:rsidR="007E69EF">
        <w:t>t</w:t>
      </w:r>
      <w:r>
        <w:t xml:space="preserve">s applicability. For instance, </w:t>
      </w:r>
      <w:r w:rsidR="00AB4F7C">
        <w:t>it is also interesting to</w:t>
      </w:r>
      <w:r>
        <w:t xml:space="preserve"> test some hypothesis about the parameter</w:t>
      </w:r>
      <w:r w:rsidR="001F64F2">
        <w:t>s that</w:t>
      </w:r>
      <w:r>
        <w:t xml:space="preserve"> we have estimated. In this context, it is useful to </w:t>
      </w:r>
      <w:r w:rsidR="007E69EF">
        <w:t>evaluate</w:t>
      </w:r>
      <w:r>
        <w:t xml:space="preserve"> confidence intervals around the quantity of interest.</w:t>
      </w:r>
    </w:p>
    <w:p w:rsidR="004421DE" w:rsidRDefault="00AB4F7C" w:rsidP="00CF2C86">
      <w:pPr>
        <w:pStyle w:val="Lgende"/>
        <w:rPr>
          <w:rFonts w:eastAsiaTheme="minorEastAsia"/>
        </w:rPr>
      </w:pPr>
      <w:r>
        <w:t xml:space="preserve">There are many tools to estimate confidence intervals </w:t>
      </w:r>
      <w:r w:rsidR="00F32963">
        <w:t>within s</w:t>
      </w:r>
      <w:r w:rsidR="00FA7F5A">
        <w:t>tatistical theory</w:t>
      </w:r>
      <w:r w:rsidR="004421DE">
        <w:t>. In this study we decided to apply sub</w:t>
      </w:r>
      <w:r w:rsidR="007E69EF">
        <w:t>-</w:t>
      </w:r>
      <w:r w:rsidR="004421DE">
        <w:t>sampling to provide confidence intervals around VaR and ES estimates.</w:t>
      </w:r>
      <w:r w:rsidR="007E69EF">
        <w:t xml:space="preserve"> Although the theory of sub-sampling can be complex, the idea behind it is very intuitive. In fact, sub-sampling consists of taking a high number of sub-samples from the original sample, without replacement, and estimating for each sub-sample the parameter of interest </w:t>
      </w:r>
      <m:oMath>
        <m:r>
          <w:rPr>
            <w:rFonts w:ascii="Cambria Math" w:hAnsi="Cambria Math"/>
          </w:rPr>
          <m:t>θ</m:t>
        </m:r>
      </m:oMath>
      <w:r w:rsidR="007E69EF">
        <w:t>. A validity condition for applying sub-sampling is that when the sub-sample size (</w:t>
      </w:r>
      <w:r w:rsidR="007E69EF" w:rsidRPr="007E69EF">
        <w:rPr>
          <w:i/>
        </w:rPr>
        <w:t>b</w:t>
      </w:r>
      <w:r w:rsidR="007E69EF">
        <w:rPr>
          <w:i/>
          <w:vertAlign w:val="subscript"/>
        </w:rPr>
        <w:t>T</w:t>
      </w:r>
      <w:r w:rsidR="007E69EF">
        <w:t xml:space="preserve">) increases, the ratio </w:t>
      </w:r>
      <w:r w:rsidR="007E69EF" w:rsidRPr="007E69EF">
        <w:rPr>
          <w:i/>
        </w:rPr>
        <w:t>b</w:t>
      </w:r>
      <w:r w:rsidR="007E69EF">
        <w:rPr>
          <w:i/>
          <w:vertAlign w:val="subscript"/>
        </w:rPr>
        <w:t>T</w:t>
      </w:r>
      <w:r w:rsidR="007E69EF">
        <w:rPr>
          <w:i/>
        </w:rPr>
        <w:t>/T</w:t>
      </w:r>
      <w:r w:rsidR="007E69EF">
        <w:t xml:space="preserve"> goes to zero as </w:t>
      </w:r>
      <m:oMath>
        <m:r>
          <w:rPr>
            <w:rFonts w:ascii="Cambria Math" w:hAnsi="Cambria Math"/>
          </w:rPr>
          <m:t>T→∞</m:t>
        </m:r>
      </m:oMath>
      <w:r w:rsidR="007E69EF">
        <w:rPr>
          <w:rFonts w:eastAsiaTheme="minorEastAsia"/>
        </w:rPr>
        <w:t>. If</w:t>
      </w:r>
      <w:r w:rsidR="001A2E48">
        <w:rPr>
          <w:rFonts w:eastAsiaTheme="minorEastAsia"/>
        </w:rPr>
        <w:t xml:space="preserve"> </w:t>
      </w:r>
      <m:oMath>
        <m:sSub>
          <m:sSubPr>
            <m:ctrlPr>
              <w:rPr>
                <w:rFonts w:ascii="Cambria Math" w:hAnsi="Cambria Math"/>
                <w:i/>
                <w:iCs w:val="0"/>
                <w:szCs w:val="22"/>
              </w:rPr>
            </m:ctrlPr>
          </m:sSubPr>
          <m:e>
            <m:acc>
              <m:accPr>
                <m:ctrlPr>
                  <w:rPr>
                    <w:rFonts w:ascii="Cambria Math" w:hAnsi="Cambria Math"/>
                    <w:i/>
                    <w:iCs w:val="0"/>
                    <w:szCs w:val="22"/>
                  </w:rPr>
                </m:ctrlPr>
              </m:accPr>
              <m:e>
                <m:r>
                  <w:rPr>
                    <w:rFonts w:ascii="Cambria Math" w:hAnsi="Cambria Math"/>
                  </w:rPr>
                  <m:t xml:space="preserve"> θ</m:t>
                </m:r>
              </m:e>
            </m:acc>
          </m:e>
          <m:sub>
            <m:r>
              <w:rPr>
                <w:rFonts w:ascii="Cambria Math" w:hAnsi="Cambria Math"/>
              </w:rPr>
              <m:t>T</m:t>
            </m:r>
          </m:sub>
        </m:sSub>
      </m:oMath>
      <w:r w:rsidR="007E69EF">
        <w:rPr>
          <w:rFonts w:eastAsiaTheme="minorEastAsia"/>
        </w:rPr>
        <w:t xml:space="preserve"> </w:t>
      </w:r>
      <w:r w:rsidR="0040087D">
        <w:rPr>
          <w:rFonts w:eastAsiaTheme="minorEastAsia"/>
        </w:rPr>
        <w:t xml:space="preserve">is the estimator of the parameter of interest (given the sample </w:t>
      </w:r>
      <w:proofErr w:type="gramStart"/>
      <w:r w:rsidR="0040087D">
        <w:rPr>
          <w:rFonts w:eastAsiaTheme="minorEastAsia"/>
        </w:rPr>
        <w:t xml:space="preserve">size </w:t>
      </w:r>
      <m:oMath>
        <w:proofErr w:type="gramEnd"/>
        <m:r>
          <w:rPr>
            <w:rFonts w:ascii="Cambria Math" w:hAnsi="Cambria Math"/>
          </w:rPr>
          <m:t>T</m:t>
        </m:r>
      </m:oMath>
      <w:r w:rsidR="0040087D">
        <w:rPr>
          <w:rFonts w:eastAsiaTheme="minorEastAsia"/>
        </w:rPr>
        <w:t xml:space="preserve">), asymptotic theory ensures that the confidence interval around the parameter of interest can be estimated using </w:t>
      </w:r>
      <w:r w:rsidR="00935A97">
        <w:fldChar w:fldCharType="begin"/>
      </w:r>
      <w:r w:rsidR="00FA7F5A">
        <w:rPr>
          <w:rFonts w:eastAsiaTheme="minorEastAsia"/>
        </w:rPr>
        <w:instrText xml:space="preserve"> REF _Ref26562792 \h </w:instrText>
      </w:r>
      <w:r w:rsidR="00935A97">
        <w:fldChar w:fldCharType="separate"/>
      </w:r>
      <w:r w:rsidR="00FA7F5A">
        <w:t xml:space="preserve">Equation </w:t>
      </w:r>
      <w:r w:rsidR="00FA7F5A">
        <w:rPr>
          <w:noProof/>
        </w:rPr>
        <w:t>14</w:t>
      </w:r>
      <w:r w:rsidR="00935A97">
        <w:fldChar w:fldCharType="end"/>
      </w:r>
      <w:r w:rsidR="0040087D">
        <w:rPr>
          <w:rFonts w:eastAsiaTheme="minorEastAsia"/>
        </w:rPr>
        <w:t>.</w:t>
      </w:r>
      <w:r w:rsidR="00CF2C86">
        <w:rPr>
          <w:rFonts w:eastAsiaTheme="minorEastAsia"/>
        </w:rPr>
        <w:t xml:space="preserve"> In </w:t>
      </w:r>
      <w:r w:rsidR="00935A97">
        <w:fldChar w:fldCharType="begin"/>
      </w:r>
      <w:r w:rsidR="00FA7F5A">
        <w:instrText xml:space="preserve"> REF _Ref26562792 \h </w:instrText>
      </w:r>
      <w:r w:rsidR="00935A97">
        <w:fldChar w:fldCharType="separate"/>
      </w:r>
      <w:r w:rsidR="00FA7F5A">
        <w:t xml:space="preserve">Equation </w:t>
      </w:r>
      <w:r w:rsidR="00FA7F5A">
        <w:rPr>
          <w:noProof/>
        </w:rPr>
        <w:t>14</w:t>
      </w:r>
      <w:r w:rsidR="00935A97">
        <w:fldChar w:fldCharType="end"/>
      </w:r>
      <w:r w:rsidR="00F32963">
        <w:t xml:space="preserve">, </w:t>
      </w:r>
      <m:oMath>
        <m:sSub>
          <m:sSubPr>
            <m:ctrlPr>
              <w:rPr>
                <w:rFonts w:ascii="Cambria Math" w:eastAsiaTheme="minorEastAsia" w:hAnsi="Cambria Math"/>
                <w:iCs w:val="0"/>
                <w:szCs w:val="22"/>
              </w:rPr>
            </m:ctrlPr>
          </m:sSubPr>
          <m:e>
            <m:acc>
              <m:accPr>
                <m:ctrlPr>
                  <w:rPr>
                    <w:rFonts w:ascii="Cambria Math" w:eastAsiaTheme="minorEastAsia" w:hAnsi="Cambria Math"/>
                    <w:iCs w:val="0"/>
                    <w:szCs w:val="22"/>
                  </w:rPr>
                </m:ctrlPr>
              </m:accPr>
              <m:e>
                <m:r>
                  <m:rPr>
                    <m:sty m:val="p"/>
                  </m:rPr>
                  <w:rPr>
                    <w:rFonts w:ascii="Cambria Math" w:eastAsiaTheme="minorEastAsia" w:hAnsi="Cambria Math"/>
                  </w:rPr>
                  <m:t>q</m:t>
                </m:r>
              </m:e>
            </m:acc>
          </m:e>
          <m:sub>
            <m:r>
              <m:rPr>
                <m:sty m:val="p"/>
              </m:rPr>
              <w:rPr>
                <w:rFonts w:ascii="Cambria Math" w:eastAsiaTheme="minorEastAsia" w:hAnsi="Cambria Math"/>
              </w:rPr>
              <m:t>α</m:t>
            </m:r>
          </m:sub>
        </m:sSub>
      </m:oMath>
      <w:r w:rsidR="00CF2C86">
        <w:rPr>
          <w:rFonts w:eastAsiaTheme="minorEastAsia"/>
          <w:iCs w:val="0"/>
          <w:szCs w:val="22"/>
        </w:rPr>
        <w:t xml:space="preserve"> represents the empirical quantile, at the </w:t>
      </w:r>
      <w:proofErr w:type="gramStart"/>
      <w:r w:rsidR="00CF2C86">
        <w:rPr>
          <w:rFonts w:eastAsiaTheme="minorEastAsia"/>
          <w:iCs w:val="0"/>
          <w:szCs w:val="22"/>
        </w:rPr>
        <w:t xml:space="preserve">level </w:t>
      </w:r>
      <m:oMath>
        <w:proofErr w:type="gramEnd"/>
        <m:r>
          <m:rPr>
            <m:sty m:val="p"/>
          </m:rPr>
          <w:rPr>
            <w:rFonts w:ascii="Cambria Math" w:eastAsiaTheme="minorEastAsia" w:hAnsi="Cambria Math"/>
          </w:rPr>
          <m:t>α</m:t>
        </m:r>
      </m:oMath>
      <w:r w:rsidR="00CF2C86">
        <w:rPr>
          <w:rFonts w:eastAsiaTheme="minorEastAsia"/>
        </w:rPr>
        <w:t xml:space="preserve">, obtained from </w:t>
      </w:r>
      <w:r w:rsidR="00CF2C86">
        <w:rPr>
          <w:rFonts w:eastAsiaTheme="minorEastAsia"/>
        </w:rPr>
        <w:lastRenderedPageBreak/>
        <w:t>the sub-sampling distribution.</w:t>
      </w:r>
      <w:r w:rsidR="000457E3">
        <w:rPr>
          <w:rFonts w:eastAsiaTheme="minorEastAsia"/>
        </w:rPr>
        <w:t xml:space="preserve"> A complete treatment of sub-sampling for confidence intervals can be found in </w:t>
      </w:r>
      <w:sdt>
        <w:sdtPr>
          <w:rPr>
            <w:rFonts w:eastAsiaTheme="minorEastAsia"/>
          </w:rPr>
          <w:id w:val="892481909"/>
          <w:citation/>
        </w:sdtPr>
        <w:sdtContent>
          <w:r w:rsidR="00935A97">
            <w:rPr>
              <w:rFonts w:eastAsiaTheme="minorEastAsia"/>
            </w:rPr>
            <w:fldChar w:fldCharType="begin"/>
          </w:r>
          <w:r w:rsidR="000457E3" w:rsidRPr="000457E3">
            <w:rPr>
              <w:rFonts w:eastAsiaTheme="minorEastAsia"/>
              <w:lang w:val="en-US"/>
            </w:rPr>
            <w:instrText xml:space="preserve"> CITATION Pol94 \l 1040 </w:instrText>
          </w:r>
          <w:r w:rsidR="00935A97">
            <w:rPr>
              <w:rFonts w:eastAsiaTheme="minorEastAsia"/>
            </w:rPr>
            <w:fldChar w:fldCharType="separate"/>
          </w:r>
          <w:r w:rsidR="00EF6195" w:rsidRPr="00EF6195">
            <w:rPr>
              <w:rFonts w:eastAsiaTheme="minorEastAsia"/>
              <w:noProof/>
              <w:lang w:val="en-US"/>
            </w:rPr>
            <w:t>[5]</w:t>
          </w:r>
          <w:r w:rsidR="00935A97">
            <w:rPr>
              <w:rFonts w:eastAsiaTheme="minorEastAsia"/>
            </w:rPr>
            <w:fldChar w:fldCharType="end"/>
          </w:r>
        </w:sdtContent>
      </w:sdt>
      <w:r w:rsidR="000457E3">
        <w:rPr>
          <w:rFonts w:eastAsiaTheme="minorEastAsia"/>
        </w:rPr>
        <w:t>.</w:t>
      </w:r>
    </w:p>
    <w:p w:rsidR="0040087D" w:rsidRDefault="00935A97" w:rsidP="000172A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CI</m:t>
              </m:r>
            </m:e>
            <m:sub>
              <m:r>
                <w:rPr>
                  <w:rFonts w:ascii="Cambria Math" w:eastAsiaTheme="minorEastAsia" w:hAnsi="Cambria Math"/>
                </w:rPr>
                <m:t>T,α</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 xml:space="preserve"> θ</m:t>
                      </m:r>
                    </m:e>
                  </m:acc>
                </m:e>
                <m:sub>
                  <m:r>
                    <w:rPr>
                      <w:rFonts w:ascii="Cambria Math" w:hAnsi="Cambria Math"/>
                    </w:rPr>
                    <m:t>T</m:t>
                  </m:r>
                </m:sub>
              </m:sSub>
              <m:r>
                <m:rPr>
                  <m:sty m:val="p"/>
                </m:rPr>
                <w:rPr>
                  <w:rFonts w:ascii="Cambria Math" w:eastAsiaTheme="minorEastAsia"/>
                </w:rPr>
                <m:t>-</m:t>
              </m:r>
              <m:f>
                <m:fPr>
                  <m:ctrlPr>
                    <w:rPr>
                      <w:rFonts w:ascii="Cambria Math" w:eastAsiaTheme="minorEastAsia" w:hAnsi="Cambria Math"/>
                    </w:rPr>
                  </m:ctrlPr>
                </m:fPr>
                <m:num>
                  <m:sSub>
                    <m:sSubPr>
                      <m:ctrlPr>
                        <w:rPr>
                          <w:rFonts w:ascii="Cambria Math" w:eastAsiaTheme="minorEastAsia" w:hAnsi="Cambria Math"/>
                        </w:rPr>
                      </m:ctrlPr>
                    </m:sSubPr>
                    <m:e>
                      <m:acc>
                        <m:accPr>
                          <m:ctrlPr>
                            <w:rPr>
                              <w:rFonts w:ascii="Cambria Math" w:eastAsiaTheme="minorEastAsia" w:hAnsi="Cambria Math"/>
                            </w:rPr>
                          </m:ctrlPr>
                        </m:accPr>
                        <m:e>
                          <m:r>
                            <m:rPr>
                              <m:sty m:val="p"/>
                            </m:rPr>
                            <w:rPr>
                              <w:rFonts w:ascii="Cambria Math" w:eastAsiaTheme="minorEastAsia" w:hAnsi="Cambria Math"/>
                            </w:rPr>
                            <m:t>q</m:t>
                          </m:r>
                        </m:e>
                      </m:acc>
                    </m:e>
                    <m:sub>
                      <m:r>
                        <m:rPr>
                          <m:sty m:val="p"/>
                        </m:rPr>
                        <w:rPr>
                          <w:rFonts w:ascii="Cambria Math" w:eastAsiaTheme="minorEastAsia" w:hAnsi="Cambria Math"/>
                        </w:rPr>
                        <m:t>1-α/2</m:t>
                      </m:r>
                    </m:sub>
                  </m:sSub>
                </m:num>
                <m:den>
                  <m:rad>
                    <m:radPr>
                      <m:degHide m:val="on"/>
                      <m:ctrlPr>
                        <w:rPr>
                          <w:rFonts w:ascii="Cambria Math" w:eastAsiaTheme="minorEastAsia" w:hAnsi="Cambria Math"/>
                        </w:rPr>
                      </m:ctrlPr>
                    </m:radPr>
                    <m:deg/>
                    <m:e>
                      <m:r>
                        <m:rPr>
                          <m:sty m:val="p"/>
                        </m:rPr>
                        <w:rPr>
                          <w:rFonts w:ascii="Cambria Math" w:eastAsiaTheme="minorEastAsia" w:hAnsi="Cambria Math"/>
                        </w:rPr>
                        <m:t>T</m:t>
                      </m:r>
                    </m:e>
                  </m:rad>
                </m:den>
              </m:f>
              <m:r>
                <m:rPr>
                  <m:sty m:val="p"/>
                </m:rPr>
                <w:rPr>
                  <w:rFonts w:ascii="Cambria Math" w:eastAsiaTheme="minorEastAsia"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 xml:space="preserve"> θ</m:t>
                      </m:r>
                    </m:e>
                  </m:acc>
                </m:e>
                <m:sub>
                  <m:r>
                    <w:rPr>
                      <w:rFonts w:ascii="Cambria Math" w:hAnsi="Cambria Math"/>
                    </w:rPr>
                    <m:t>T</m:t>
                  </m:r>
                </m:sub>
              </m:sSub>
              <m:r>
                <m:rPr>
                  <m:sty m:val="p"/>
                </m:rPr>
                <w:rPr>
                  <w:rFonts w:ascii="Cambria Math" w:eastAsiaTheme="minorEastAsia"/>
                </w:rPr>
                <m:t>+</m:t>
              </m:r>
              <m:f>
                <m:fPr>
                  <m:ctrlPr>
                    <w:rPr>
                      <w:rFonts w:ascii="Cambria Math" w:eastAsiaTheme="minorEastAsia" w:hAnsi="Cambria Math"/>
                    </w:rPr>
                  </m:ctrlPr>
                </m:fPr>
                <m:num>
                  <m:sSub>
                    <m:sSubPr>
                      <m:ctrlPr>
                        <w:rPr>
                          <w:rFonts w:ascii="Cambria Math" w:eastAsiaTheme="minorEastAsia" w:hAnsi="Cambria Math"/>
                        </w:rPr>
                      </m:ctrlPr>
                    </m:sSubPr>
                    <m:e>
                      <m:acc>
                        <m:accPr>
                          <m:ctrlPr>
                            <w:rPr>
                              <w:rFonts w:ascii="Cambria Math" w:eastAsiaTheme="minorEastAsia" w:hAnsi="Cambria Math"/>
                            </w:rPr>
                          </m:ctrlPr>
                        </m:accPr>
                        <m:e>
                          <m:r>
                            <m:rPr>
                              <m:sty m:val="p"/>
                            </m:rPr>
                            <w:rPr>
                              <w:rFonts w:ascii="Cambria Math" w:eastAsiaTheme="minorEastAsia" w:hAnsi="Cambria Math"/>
                            </w:rPr>
                            <m:t>q</m:t>
                          </m:r>
                        </m:e>
                      </m:acc>
                    </m:e>
                    <m:sub>
                      <m:r>
                        <m:rPr>
                          <m:sty m:val="p"/>
                        </m:rPr>
                        <w:rPr>
                          <w:rFonts w:ascii="Cambria Math" w:eastAsiaTheme="minorEastAsia" w:hAnsi="Cambria Math"/>
                        </w:rPr>
                        <m:t>α/2</m:t>
                      </m:r>
                    </m:sub>
                  </m:sSub>
                </m:num>
                <m:den>
                  <m:rad>
                    <m:radPr>
                      <m:degHide m:val="on"/>
                      <m:ctrlPr>
                        <w:rPr>
                          <w:rFonts w:ascii="Cambria Math" w:eastAsiaTheme="minorEastAsia" w:hAnsi="Cambria Math"/>
                        </w:rPr>
                      </m:ctrlPr>
                    </m:radPr>
                    <m:deg/>
                    <m:e>
                      <m:r>
                        <m:rPr>
                          <m:sty m:val="p"/>
                        </m:rPr>
                        <w:rPr>
                          <w:rFonts w:ascii="Cambria Math" w:eastAsiaTheme="minorEastAsia" w:hAnsi="Cambria Math"/>
                        </w:rPr>
                        <m:t>T</m:t>
                      </m:r>
                    </m:e>
                  </m:rad>
                </m:den>
              </m:f>
            </m:e>
          </m:d>
        </m:oMath>
      </m:oMathPara>
    </w:p>
    <w:p w:rsidR="00AC7FF5" w:rsidRDefault="00A1413E" w:rsidP="00A1413E">
      <w:pPr>
        <w:pStyle w:val="Lgende"/>
        <w:jc w:val="center"/>
      </w:pPr>
      <w:bookmarkStart w:id="28" w:name="_Ref26562792"/>
      <w:r>
        <w:t xml:space="preserve">Equation </w:t>
      </w:r>
      <w:fldSimple w:instr=" SEQ Équation \* ARABIC ">
        <w:r>
          <w:rPr>
            <w:noProof/>
          </w:rPr>
          <w:t>14</w:t>
        </w:r>
      </w:fldSimple>
      <w:bookmarkEnd w:id="28"/>
      <w:r w:rsidR="00AC7FF5">
        <w:t>. Estimation of confidence intervals using sub-sampling</w:t>
      </w:r>
      <w:r w:rsidR="00EF6195">
        <w:rPr>
          <w:noProof/>
          <w:lang w:val="en-US"/>
        </w:rPr>
        <w:t xml:space="preserve"> </w:t>
      </w:r>
      <w:sdt>
        <w:sdtPr>
          <w:rPr>
            <w:noProof/>
            <w:lang w:val="en-US"/>
          </w:rPr>
          <w:id w:val="1880045654"/>
          <w:citation/>
        </w:sdtPr>
        <w:sdtContent>
          <w:r w:rsidR="00935A97">
            <w:rPr>
              <w:noProof/>
              <w:lang w:val="en-US"/>
            </w:rPr>
            <w:fldChar w:fldCharType="begin"/>
          </w:r>
          <w:r w:rsidR="00EF6195" w:rsidRPr="00EF6195">
            <w:rPr>
              <w:noProof/>
              <w:lang w:val="en-US"/>
            </w:rPr>
            <w:instrText xml:space="preserve"> CITATION Pol94 \l 1040 </w:instrText>
          </w:r>
          <w:r w:rsidR="00935A97">
            <w:rPr>
              <w:noProof/>
              <w:lang w:val="en-US"/>
            </w:rPr>
            <w:fldChar w:fldCharType="separate"/>
          </w:r>
          <w:r w:rsidR="00EF6195" w:rsidRPr="00EF6195">
            <w:rPr>
              <w:noProof/>
              <w:lang w:val="en-US"/>
            </w:rPr>
            <w:t>[5]</w:t>
          </w:r>
          <w:r w:rsidR="00935A97">
            <w:rPr>
              <w:noProof/>
              <w:lang w:val="en-US"/>
            </w:rPr>
            <w:fldChar w:fldCharType="end"/>
          </w:r>
        </w:sdtContent>
      </w:sdt>
      <w:r w:rsidR="00CF2C86">
        <w:t>.</w:t>
      </w:r>
    </w:p>
    <w:p w:rsidR="001F64F2" w:rsidRPr="001F64F2" w:rsidRDefault="001F64F2" w:rsidP="001F64F2">
      <w:r>
        <w:rPr>
          <w:rFonts w:eastAsiaTheme="minorEastAsia"/>
        </w:rPr>
        <w:t>For the present study, we decided to apply the so-called rolling window approach to sub-sampling. The technique consists of selecting the size of the sub-sample (</w:t>
      </w:r>
      <w:r>
        <w:rPr>
          <w:rFonts w:eastAsiaTheme="minorEastAsia"/>
          <w:i/>
        </w:rPr>
        <w:t>b)</w:t>
      </w:r>
      <w:r>
        <w:rPr>
          <w:rFonts w:eastAsiaTheme="minorEastAsia"/>
        </w:rPr>
        <w:t xml:space="preserve"> and </w:t>
      </w:r>
      <w:r w:rsidR="003C68DB">
        <w:rPr>
          <w:rFonts w:eastAsiaTheme="minorEastAsia"/>
        </w:rPr>
        <w:t xml:space="preserve">calculating </w:t>
      </w:r>
      <w:r>
        <w:rPr>
          <w:rFonts w:eastAsiaTheme="minorEastAsia"/>
        </w:rPr>
        <w:t xml:space="preserve">one estimate of the parameter of interest, considering the data from time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Pr>
          <w:rFonts w:eastAsiaTheme="minorEastAsia"/>
        </w:rPr>
        <w:t xml:space="preserve"> to time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oMath>
      <w:r>
        <w:rPr>
          <w:rFonts w:eastAsiaTheme="minorEastAsia"/>
        </w:rPr>
        <w:t xml:space="preserve">. The second sub-sample </w:t>
      </w:r>
      <w:r w:rsidR="003C68DB">
        <w:rPr>
          <w:rFonts w:eastAsiaTheme="minorEastAsia"/>
        </w:rPr>
        <w:t>is</w:t>
      </w:r>
      <w:r>
        <w:rPr>
          <w:rFonts w:eastAsiaTheme="minorEastAsia"/>
        </w:rPr>
        <w:t xml:space="preserve"> the data from time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Pr>
          <w:rFonts w:eastAsiaTheme="minorEastAsia"/>
        </w:rPr>
        <w:t xml:space="preserve"> up to time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b+2</m:t>
            </m:r>
          </m:sub>
        </m:sSub>
      </m:oMath>
      <w:r w:rsidR="00E152F9">
        <w:rPr>
          <w:rFonts w:eastAsiaTheme="minorEastAsia"/>
        </w:rPr>
        <w:t xml:space="preserve"> and</w:t>
      </w:r>
      <w:r w:rsidR="009A3644">
        <w:rPr>
          <w:rFonts w:eastAsiaTheme="minorEastAsia"/>
        </w:rPr>
        <w:t xml:space="preserve"> </w:t>
      </w:r>
      <w:r w:rsidR="00E152F9">
        <w:rPr>
          <w:rFonts w:eastAsiaTheme="minorEastAsia"/>
        </w:rPr>
        <w:t>is used</w:t>
      </w:r>
      <w:r>
        <w:rPr>
          <w:rFonts w:eastAsiaTheme="minorEastAsia"/>
        </w:rPr>
        <w:t xml:space="preserve"> to </w:t>
      </w:r>
      <w:r w:rsidR="003C68DB">
        <w:rPr>
          <w:rFonts w:eastAsiaTheme="minorEastAsia"/>
        </w:rPr>
        <w:t>calculate</w:t>
      </w:r>
      <w:r>
        <w:rPr>
          <w:rFonts w:eastAsiaTheme="minorEastAsia"/>
        </w:rPr>
        <w:t xml:space="preserve"> a second estimate for the parameter. </w:t>
      </w:r>
      <w:r w:rsidR="003C68DB">
        <w:rPr>
          <w:rFonts w:eastAsiaTheme="minorEastAsia"/>
        </w:rPr>
        <w:t>T</w:t>
      </w:r>
      <w:r w:rsidR="009A3644">
        <w:rPr>
          <w:rFonts w:eastAsiaTheme="minorEastAsia"/>
        </w:rPr>
        <w:t>his</w:t>
      </w:r>
      <w:r>
        <w:rPr>
          <w:rFonts w:eastAsiaTheme="minorEastAsia"/>
        </w:rPr>
        <w:t xml:space="preserve"> procedure</w:t>
      </w:r>
      <w:r w:rsidR="003C68DB">
        <w:rPr>
          <w:rFonts w:eastAsiaTheme="minorEastAsia"/>
        </w:rPr>
        <w:t xml:space="preserve"> is repeated</w:t>
      </w:r>
      <w:r>
        <w:rPr>
          <w:rFonts w:eastAsiaTheme="minorEastAsia"/>
        </w:rPr>
        <w:t xml:space="preserve"> </w:t>
      </w:r>
      <w:r w:rsidR="009A3644">
        <w:rPr>
          <w:rFonts w:eastAsiaTheme="minorEastAsia"/>
        </w:rPr>
        <w:t xml:space="preserve">until a large number of estimates </w:t>
      </w:r>
      <w:r w:rsidR="003C68DB">
        <w:rPr>
          <w:rFonts w:eastAsiaTheme="minorEastAsia"/>
        </w:rPr>
        <w:t>are calculated</w:t>
      </w:r>
      <w:r>
        <w:rPr>
          <w:rFonts w:eastAsiaTheme="minorEastAsia"/>
        </w:rPr>
        <w:t xml:space="preserve"> </w:t>
      </w:r>
      <w:r w:rsidR="00ED6C39">
        <w:rPr>
          <w:rFonts w:eastAsiaTheme="minorEastAsia"/>
        </w:rPr>
        <w:t xml:space="preserve">and the rolling window reaches </w:t>
      </w:r>
      <w:r w:rsidR="00ED6C39" w:rsidRPr="00ED6C39">
        <w:rPr>
          <w:rFonts w:eastAsiaTheme="minorEastAsia"/>
          <w:i/>
        </w:rPr>
        <w:t>T</w:t>
      </w:r>
      <w:r w:rsidR="00ED6C39">
        <w:rPr>
          <w:rFonts w:eastAsiaTheme="minorEastAsia"/>
        </w:rPr>
        <w:t>. Finally,</w:t>
      </w:r>
      <w:r>
        <w:rPr>
          <w:rFonts w:eastAsiaTheme="minorEastAsia"/>
        </w:rPr>
        <w:t xml:space="preserve"> an empirical distribution of the parameter of interest</w:t>
      </w:r>
      <w:r w:rsidR="00E152F9">
        <w:rPr>
          <w:rFonts w:eastAsiaTheme="minorEastAsia"/>
        </w:rPr>
        <w:t xml:space="preserve"> can be built</w:t>
      </w:r>
      <w:r w:rsidR="00FB5EFC">
        <w:rPr>
          <w:rFonts w:eastAsiaTheme="minorEastAsia"/>
        </w:rPr>
        <w:t xml:space="preserve">. In particular, </w:t>
      </w:r>
      <w:r w:rsidR="00E152F9">
        <w:rPr>
          <w:rFonts w:eastAsiaTheme="minorEastAsia"/>
        </w:rPr>
        <w:t>t</w:t>
      </w:r>
      <w:r w:rsidR="00FB5EFC">
        <w:rPr>
          <w:rFonts w:eastAsiaTheme="minorEastAsia"/>
        </w:rPr>
        <w:t xml:space="preserve">his technique </w:t>
      </w:r>
      <w:r w:rsidR="009A3644">
        <w:rPr>
          <w:rFonts w:eastAsiaTheme="minorEastAsia"/>
        </w:rPr>
        <w:t xml:space="preserve">is very useful </w:t>
      </w:r>
      <w:r w:rsidR="00FB5EFC">
        <w:rPr>
          <w:rFonts w:eastAsiaTheme="minorEastAsia"/>
        </w:rPr>
        <w:t xml:space="preserve">to </w:t>
      </w:r>
      <w:r w:rsidR="009A3644">
        <w:rPr>
          <w:rFonts w:eastAsiaTheme="minorEastAsia"/>
        </w:rPr>
        <w:t>build</w:t>
      </w:r>
      <w:r w:rsidR="00FB5EFC">
        <w:rPr>
          <w:rFonts w:eastAsiaTheme="minorEastAsia"/>
        </w:rPr>
        <w:t xml:space="preserve"> confidence intervals of VaR and ES.</w:t>
      </w:r>
    </w:p>
    <w:p w:rsidR="001B031B" w:rsidRDefault="001B031B" w:rsidP="001B031B">
      <w:pPr>
        <w:pStyle w:val="Titre2"/>
        <w:numPr>
          <w:ilvl w:val="0"/>
          <w:numId w:val="3"/>
        </w:numPr>
      </w:pPr>
      <w:bookmarkStart w:id="29" w:name="_Ref25225497"/>
      <w:bookmarkStart w:id="30" w:name="_Toc25585445"/>
      <w:r>
        <w:t>Analysis of the results</w:t>
      </w:r>
      <w:r w:rsidR="00956B34">
        <w:t xml:space="preserve"> and discussion</w:t>
      </w:r>
      <w:bookmarkEnd w:id="29"/>
      <w:bookmarkEnd w:id="30"/>
    </w:p>
    <w:p w:rsidR="003820CB" w:rsidRDefault="003820CB" w:rsidP="003820CB">
      <w:pPr>
        <w:rPr>
          <w:rFonts w:eastAsiaTheme="minorEastAsia"/>
        </w:rPr>
      </w:pPr>
      <w:r>
        <w:t>Using the theoretical results of the previous section</w:t>
      </w:r>
      <w:r w:rsidR="003C68DB">
        <w:t xml:space="preserve"> and</w:t>
      </w:r>
      <w:r>
        <w:t xml:space="preserve"> the data described in the first section, we calculated the VaR and ES for a portfolio of cryptocurrencies, at the level</w:t>
      </w:r>
      <w:r w:rsidR="00CD702F">
        <w:t>s</w:t>
      </w:r>
      <w:r>
        <w:t xml:space="preserve"> of confidence</w:t>
      </w:r>
      <w:r>
        <w:rPr>
          <w:rFonts w:eastAsiaTheme="minorEastAsia"/>
        </w:rPr>
        <w:t xml:space="preserve"> 5% and 1%</w:t>
      </w:r>
      <w:r w:rsidR="00553F06">
        <w:rPr>
          <w:rFonts w:eastAsiaTheme="minorEastAsia"/>
        </w:rPr>
        <w:t>.</w:t>
      </w:r>
      <w:r w:rsidR="00497C7B">
        <w:rPr>
          <w:rFonts w:eastAsiaTheme="minorEastAsia"/>
        </w:rPr>
        <w:t xml:space="preserve"> The results are summarized in </w:t>
      </w:r>
      <w:r w:rsidR="00935A97">
        <w:fldChar w:fldCharType="begin"/>
      </w:r>
      <w:r w:rsidR="002D4800">
        <w:rPr>
          <w:rFonts w:eastAsiaTheme="minorEastAsia"/>
        </w:rPr>
        <w:instrText xml:space="preserve"> REF _Ref25571674 \h </w:instrText>
      </w:r>
      <w:r w:rsidR="00935A97">
        <w:fldChar w:fldCharType="separate"/>
      </w:r>
      <w:r w:rsidR="002D4800">
        <w:t xml:space="preserve">Table </w:t>
      </w:r>
      <w:r w:rsidR="002D4800">
        <w:rPr>
          <w:noProof/>
        </w:rPr>
        <w:t>3</w:t>
      </w:r>
      <w:r w:rsidR="00935A97">
        <w:fldChar w:fldCharType="end"/>
      </w:r>
      <w:r w:rsidR="00973701">
        <w:rPr>
          <w:rFonts w:eastAsiaTheme="minorEastAsia"/>
        </w:rPr>
        <w:t xml:space="preserve">. </w:t>
      </w:r>
      <w:r w:rsidR="00F102D3">
        <w:rPr>
          <w:rFonts w:eastAsiaTheme="minorEastAsia"/>
        </w:rPr>
        <w:t xml:space="preserve">The confidence intervals between square brackets are estimated at a confidence level of 95%. </w:t>
      </w:r>
      <w:r w:rsidR="00935A97">
        <w:rPr>
          <w:rFonts w:eastAsiaTheme="minorEastAsia"/>
        </w:rPr>
        <w:fldChar w:fldCharType="begin"/>
      </w:r>
      <w:r w:rsidR="002D4800">
        <w:rPr>
          <w:rFonts w:eastAsiaTheme="minorEastAsia"/>
        </w:rPr>
        <w:instrText xml:space="preserve"> REF _Ref25575853 \h </w:instrText>
      </w:r>
      <w:r w:rsidR="00935A97">
        <w:rPr>
          <w:rFonts w:eastAsiaTheme="minorEastAsia"/>
        </w:rPr>
      </w:r>
      <w:r w:rsidR="00935A97">
        <w:rPr>
          <w:rFonts w:eastAsiaTheme="minorEastAsia"/>
        </w:rPr>
        <w:fldChar w:fldCharType="separate"/>
      </w:r>
      <w:r w:rsidR="002D4800">
        <w:t xml:space="preserve">Figure </w:t>
      </w:r>
      <w:r w:rsidR="002D4800">
        <w:rPr>
          <w:noProof/>
        </w:rPr>
        <w:t>4</w:t>
      </w:r>
      <w:r w:rsidR="00935A97">
        <w:rPr>
          <w:rFonts w:eastAsiaTheme="minorEastAsia"/>
        </w:rPr>
        <w:fldChar w:fldCharType="end"/>
      </w:r>
      <w:r w:rsidR="001B3CB7">
        <w:rPr>
          <w:rFonts w:eastAsiaTheme="minorEastAsia"/>
        </w:rPr>
        <w:t xml:space="preserve"> </w:t>
      </w:r>
      <w:r w:rsidR="002E7ABF">
        <w:rPr>
          <w:rFonts w:eastAsiaTheme="minorEastAsia"/>
        </w:rPr>
        <w:t>shows</w:t>
      </w:r>
      <w:r w:rsidR="001B3CB7">
        <w:rPr>
          <w:rFonts w:eastAsiaTheme="minorEastAsia"/>
        </w:rPr>
        <w:t xml:space="preserve"> </w:t>
      </w:r>
      <w:r w:rsidR="0046288F">
        <w:rPr>
          <w:rFonts w:eastAsiaTheme="minorEastAsia"/>
        </w:rPr>
        <w:t xml:space="preserve">the boxplots obtained for each risk measure and from sub-samples of size </w:t>
      </w:r>
      <w:r w:rsidR="0046288F" w:rsidRPr="0046288F">
        <w:rPr>
          <w:rFonts w:eastAsiaTheme="minorEastAsia"/>
          <w:i/>
        </w:rPr>
        <w:t>b=T/2=775</w:t>
      </w:r>
      <w:r w:rsidR="0046288F">
        <w:rPr>
          <w:rFonts w:eastAsiaTheme="minorEastAsia"/>
        </w:rPr>
        <w:t>.</w:t>
      </w:r>
    </w:p>
    <w:p w:rsidR="00497C7B" w:rsidRDefault="00497C7B" w:rsidP="00497C7B">
      <w:pPr>
        <w:pStyle w:val="Lgende"/>
        <w:jc w:val="center"/>
        <w:rPr>
          <w:rFonts w:eastAsiaTheme="minorEastAsia"/>
        </w:rPr>
      </w:pPr>
      <w:bookmarkStart w:id="31" w:name="_Ref25571674"/>
      <w:r>
        <w:t xml:space="preserve">Table </w:t>
      </w:r>
      <w:fldSimple w:instr=" SEQ Table \* ARABIC ">
        <w:r w:rsidR="00CB04A9">
          <w:rPr>
            <w:noProof/>
          </w:rPr>
          <w:t>3</w:t>
        </w:r>
      </w:fldSimple>
      <w:bookmarkEnd w:id="31"/>
      <w:r>
        <w:t>. Summary of risk measure estimates for a portfolio of cryptocurrencies.</w:t>
      </w:r>
      <w:r w:rsidR="00036422">
        <w:t xml:space="preserve"> Between square brackets we give the confidence </w:t>
      </w:r>
      <w:r w:rsidR="003B696C">
        <w:t>intervals</w:t>
      </w:r>
      <w:r w:rsidR="00036422">
        <w:t xml:space="preserve"> obtained from</w:t>
      </w:r>
      <w:r w:rsidR="00E205CE">
        <w:t xml:space="preserve"> </w:t>
      </w:r>
      <w:r w:rsidR="00036422">
        <w:t>sub</w:t>
      </w:r>
      <w:r w:rsidR="00E205CE">
        <w:t>-</w:t>
      </w:r>
      <w:r w:rsidR="00036422">
        <w:t>sampling, at a confidence level of 95%.</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951"/>
        <w:gridCol w:w="1956"/>
        <w:gridCol w:w="1956"/>
        <w:gridCol w:w="1956"/>
        <w:gridCol w:w="1956"/>
      </w:tblGrid>
      <w:tr w:rsidR="006A0E71" w:rsidRPr="006A0E71" w:rsidTr="006A0E71">
        <w:trPr>
          <w:trHeight w:val="300"/>
          <w:jc w:val="center"/>
        </w:trPr>
        <w:tc>
          <w:tcPr>
            <w:tcW w:w="0" w:type="auto"/>
            <w:noWrap/>
            <w:tcMar>
              <w:top w:w="0" w:type="dxa"/>
              <w:left w:w="108" w:type="dxa"/>
              <w:bottom w:w="0" w:type="dxa"/>
              <w:right w:w="108" w:type="dxa"/>
            </w:tcMar>
            <w:vAlign w:val="center"/>
            <w:hideMark/>
          </w:tcPr>
          <w:p w:rsidR="006A0E71" w:rsidRPr="001272D7" w:rsidRDefault="006A0E71" w:rsidP="006A0E71">
            <w:pPr>
              <w:spacing w:after="0" w:line="240" w:lineRule="auto"/>
              <w:jc w:val="left"/>
              <w:rPr>
                <w:rFonts w:eastAsia="Times New Roman" w:cs="Times New Roman"/>
                <w:color w:val="000000"/>
                <w:sz w:val="18"/>
                <w:szCs w:val="18"/>
                <w:lang w:val="en-US" w:eastAsia="fr-FR"/>
              </w:rPr>
            </w:pPr>
            <w:r w:rsidRPr="006A0E71">
              <w:rPr>
                <w:rFonts w:eastAsia="Times New Roman" w:cs="Times New Roman"/>
                <w:color w:val="000000"/>
                <w:sz w:val="18"/>
                <w:szCs w:val="18"/>
                <w:lang w:val="en-US" w:eastAsia="fr-FR"/>
              </w:rPr>
              <w:t> </w:t>
            </w:r>
          </w:p>
        </w:tc>
        <w:tc>
          <w:tcPr>
            <w:tcW w:w="0" w:type="auto"/>
            <w:noWrap/>
            <w:tcMar>
              <w:top w:w="0" w:type="dxa"/>
              <w:left w:w="108" w:type="dxa"/>
              <w:bottom w:w="0" w:type="dxa"/>
              <w:right w:w="108" w:type="dxa"/>
            </w:tcMar>
            <w:vAlign w:val="center"/>
            <w:hideMark/>
          </w:tcPr>
          <w:p w:rsidR="006A0E71" w:rsidRPr="001272D7" w:rsidRDefault="006A0E71" w:rsidP="006A0E71">
            <w:pPr>
              <w:spacing w:after="0" w:line="240" w:lineRule="auto"/>
              <w:jc w:val="center"/>
              <w:rPr>
                <w:rFonts w:eastAsia="Times New Roman" w:cs="Times New Roman"/>
                <w:color w:val="000000"/>
                <w:sz w:val="18"/>
                <w:szCs w:val="18"/>
                <w:lang w:val="en-US" w:eastAsia="fr-FR"/>
              </w:rPr>
            </w:pPr>
            <w:r w:rsidRPr="001272D7">
              <w:rPr>
                <w:rFonts w:eastAsia="Times New Roman" w:cs="Times New Roman"/>
                <w:color w:val="000000"/>
                <w:sz w:val="18"/>
                <w:szCs w:val="18"/>
                <w:lang w:val="en-US" w:eastAsia="fr-FR"/>
              </w:rPr>
              <w:t>Gaussian</w:t>
            </w:r>
          </w:p>
        </w:tc>
        <w:tc>
          <w:tcPr>
            <w:tcW w:w="0" w:type="auto"/>
            <w:noWrap/>
            <w:tcMar>
              <w:top w:w="0" w:type="dxa"/>
              <w:left w:w="108" w:type="dxa"/>
              <w:bottom w:w="0" w:type="dxa"/>
              <w:right w:w="108" w:type="dxa"/>
            </w:tcMar>
            <w:vAlign w:val="center"/>
            <w:hideMark/>
          </w:tcPr>
          <w:p w:rsidR="006A0E71" w:rsidRPr="006A0E71" w:rsidRDefault="006A0E71" w:rsidP="006A0E71">
            <w:pPr>
              <w:spacing w:after="0" w:line="240" w:lineRule="auto"/>
              <w:jc w:val="center"/>
              <w:rPr>
                <w:rFonts w:eastAsia="Times New Roman" w:cs="Times New Roman"/>
                <w:color w:val="000000"/>
                <w:sz w:val="18"/>
                <w:szCs w:val="18"/>
                <w:lang w:val="fr-FR" w:eastAsia="fr-FR"/>
              </w:rPr>
            </w:pPr>
            <w:r w:rsidRPr="001272D7">
              <w:rPr>
                <w:rFonts w:eastAsia="Times New Roman" w:cs="Times New Roman"/>
                <w:color w:val="000000"/>
                <w:sz w:val="18"/>
                <w:szCs w:val="18"/>
                <w:lang w:val="en-US" w:eastAsia="fr-FR"/>
              </w:rPr>
              <w:t>Historical</w:t>
            </w:r>
            <w:r w:rsidRPr="006A0E71">
              <w:rPr>
                <w:rFonts w:eastAsia="Times New Roman" w:cs="Times New Roman"/>
                <w:color w:val="000000"/>
                <w:sz w:val="18"/>
                <w:szCs w:val="18"/>
                <w:lang w:val="fr-FR" w:eastAsia="fr-FR"/>
              </w:rPr>
              <w:t xml:space="preserve"> data</w:t>
            </w:r>
          </w:p>
        </w:tc>
        <w:tc>
          <w:tcPr>
            <w:tcW w:w="0" w:type="auto"/>
            <w:noWrap/>
            <w:tcMar>
              <w:top w:w="0" w:type="dxa"/>
              <w:left w:w="108" w:type="dxa"/>
              <w:bottom w:w="0" w:type="dxa"/>
              <w:right w:w="108" w:type="dxa"/>
            </w:tcMar>
            <w:vAlign w:val="center"/>
            <w:hideMark/>
          </w:tcPr>
          <w:p w:rsidR="006A0E71" w:rsidRPr="006A0E71" w:rsidRDefault="006A0E71" w:rsidP="006A0E71">
            <w:pPr>
              <w:spacing w:after="0" w:line="240" w:lineRule="auto"/>
              <w:jc w:val="center"/>
              <w:rPr>
                <w:rFonts w:eastAsia="Times New Roman" w:cs="Times New Roman"/>
                <w:color w:val="000000"/>
                <w:sz w:val="18"/>
                <w:szCs w:val="18"/>
                <w:lang w:val="fr-FR" w:eastAsia="fr-FR"/>
              </w:rPr>
            </w:pPr>
            <w:r w:rsidRPr="006A0E71">
              <w:rPr>
                <w:rFonts w:eastAsia="Times New Roman" w:cs="Times New Roman"/>
                <w:color w:val="000000"/>
                <w:sz w:val="18"/>
                <w:szCs w:val="18"/>
                <w:lang w:val="fr-FR" w:eastAsia="fr-FR"/>
              </w:rPr>
              <w:t>Kernel</w:t>
            </w:r>
          </w:p>
        </w:tc>
        <w:tc>
          <w:tcPr>
            <w:tcW w:w="0" w:type="auto"/>
            <w:noWrap/>
            <w:tcMar>
              <w:top w:w="0" w:type="dxa"/>
              <w:left w:w="108" w:type="dxa"/>
              <w:bottom w:w="0" w:type="dxa"/>
              <w:right w:w="108" w:type="dxa"/>
            </w:tcMar>
            <w:vAlign w:val="center"/>
            <w:hideMark/>
          </w:tcPr>
          <w:p w:rsidR="006A0E71" w:rsidRPr="006A0E71" w:rsidRDefault="006A0E71" w:rsidP="006A0E71">
            <w:pPr>
              <w:spacing w:after="0" w:line="240" w:lineRule="auto"/>
              <w:jc w:val="center"/>
              <w:rPr>
                <w:rFonts w:eastAsia="Times New Roman" w:cs="Times New Roman"/>
                <w:color w:val="000000"/>
                <w:sz w:val="18"/>
                <w:szCs w:val="18"/>
                <w:lang w:val="fr-FR" w:eastAsia="fr-FR"/>
              </w:rPr>
            </w:pPr>
            <w:r w:rsidRPr="006A0E71">
              <w:rPr>
                <w:rFonts w:eastAsia="Times New Roman" w:cs="Times New Roman"/>
                <w:color w:val="000000"/>
                <w:sz w:val="18"/>
                <w:szCs w:val="18"/>
                <w:lang w:val="fr-FR" w:eastAsia="fr-FR"/>
              </w:rPr>
              <w:t>GPD (u=0.05)</w:t>
            </w:r>
          </w:p>
        </w:tc>
      </w:tr>
      <w:tr w:rsidR="006A0E71" w:rsidRPr="006A0E71" w:rsidTr="006A0E71">
        <w:trPr>
          <w:trHeight w:val="300"/>
          <w:jc w:val="center"/>
        </w:trPr>
        <w:tc>
          <w:tcPr>
            <w:tcW w:w="0" w:type="auto"/>
            <w:noWrap/>
            <w:tcMar>
              <w:top w:w="0" w:type="dxa"/>
              <w:left w:w="108" w:type="dxa"/>
              <w:bottom w:w="0" w:type="dxa"/>
              <w:right w:w="108" w:type="dxa"/>
            </w:tcMar>
            <w:vAlign w:val="center"/>
            <w:hideMark/>
          </w:tcPr>
          <w:p w:rsidR="006A0E71" w:rsidRPr="006A0E71" w:rsidRDefault="006A0E71" w:rsidP="006A0E71">
            <w:pPr>
              <w:spacing w:after="0" w:line="240" w:lineRule="auto"/>
              <w:jc w:val="left"/>
              <w:rPr>
                <w:rFonts w:eastAsia="Times New Roman" w:cs="Times New Roman"/>
                <w:color w:val="000000"/>
                <w:sz w:val="18"/>
                <w:szCs w:val="18"/>
                <w:lang w:val="fr-FR" w:eastAsia="fr-FR"/>
              </w:rPr>
            </w:pPr>
            <w:r w:rsidRPr="006A0E71">
              <w:rPr>
                <w:rFonts w:eastAsia="Times New Roman" w:cs="Times New Roman"/>
                <w:color w:val="000000"/>
                <w:sz w:val="18"/>
                <w:szCs w:val="18"/>
                <w:lang w:val="fr-FR" w:eastAsia="fr-FR"/>
              </w:rPr>
              <w:t>VaR (5%)</w:t>
            </w:r>
          </w:p>
        </w:tc>
        <w:tc>
          <w:tcPr>
            <w:tcW w:w="0" w:type="auto"/>
            <w:tcMar>
              <w:top w:w="0" w:type="dxa"/>
              <w:left w:w="108" w:type="dxa"/>
              <w:bottom w:w="0" w:type="dxa"/>
              <w:right w:w="108" w:type="dxa"/>
            </w:tcMar>
            <w:vAlign w:val="center"/>
            <w:hideMark/>
          </w:tcPr>
          <w:p w:rsidR="006A0E71" w:rsidRPr="006A0E71" w:rsidRDefault="006A0E71" w:rsidP="006A0E71">
            <w:pPr>
              <w:spacing w:after="0" w:line="240" w:lineRule="auto"/>
              <w:jc w:val="center"/>
              <w:rPr>
                <w:rFonts w:eastAsia="Times New Roman" w:cs="Times New Roman"/>
                <w:color w:val="000000"/>
                <w:sz w:val="18"/>
                <w:szCs w:val="18"/>
                <w:lang w:val="fr-FR" w:eastAsia="fr-FR"/>
              </w:rPr>
            </w:pPr>
            <w:r w:rsidRPr="006A0E71">
              <w:rPr>
                <w:rFonts w:eastAsia="Times New Roman" w:cs="Times New Roman"/>
                <w:color w:val="000000"/>
                <w:sz w:val="18"/>
                <w:szCs w:val="18"/>
                <w:lang w:val="fr-FR" w:eastAsia="fr-FR"/>
              </w:rPr>
              <w:t>0.0597 [0.0495, 0.0716]</w:t>
            </w:r>
          </w:p>
        </w:tc>
        <w:tc>
          <w:tcPr>
            <w:tcW w:w="0" w:type="auto"/>
            <w:tcMar>
              <w:top w:w="0" w:type="dxa"/>
              <w:left w:w="108" w:type="dxa"/>
              <w:bottom w:w="0" w:type="dxa"/>
              <w:right w:w="108" w:type="dxa"/>
            </w:tcMar>
            <w:vAlign w:val="center"/>
            <w:hideMark/>
          </w:tcPr>
          <w:p w:rsidR="006A0E71" w:rsidRPr="006A0E71" w:rsidRDefault="006A0E71" w:rsidP="006A0E71">
            <w:pPr>
              <w:spacing w:after="0" w:line="240" w:lineRule="auto"/>
              <w:jc w:val="center"/>
              <w:rPr>
                <w:rFonts w:eastAsia="Times New Roman" w:cs="Times New Roman"/>
                <w:color w:val="000000"/>
                <w:sz w:val="18"/>
                <w:szCs w:val="18"/>
                <w:lang w:val="fr-FR" w:eastAsia="fr-FR"/>
              </w:rPr>
            </w:pPr>
            <w:r w:rsidRPr="006A0E71">
              <w:rPr>
                <w:rFonts w:eastAsia="Times New Roman" w:cs="Times New Roman"/>
                <w:color w:val="000000"/>
                <w:sz w:val="18"/>
                <w:szCs w:val="18"/>
                <w:lang w:val="fr-FR" w:eastAsia="fr-FR"/>
              </w:rPr>
              <w:t>0.0606 [0.0489, 0.0697]</w:t>
            </w:r>
          </w:p>
        </w:tc>
        <w:tc>
          <w:tcPr>
            <w:tcW w:w="0" w:type="auto"/>
            <w:tcMar>
              <w:top w:w="0" w:type="dxa"/>
              <w:left w:w="108" w:type="dxa"/>
              <w:bottom w:w="0" w:type="dxa"/>
              <w:right w:w="108" w:type="dxa"/>
            </w:tcMar>
            <w:vAlign w:val="center"/>
            <w:hideMark/>
          </w:tcPr>
          <w:p w:rsidR="006A0E71" w:rsidRPr="006A0E71" w:rsidRDefault="006A0E71" w:rsidP="006A0E71">
            <w:pPr>
              <w:spacing w:after="0" w:line="240" w:lineRule="auto"/>
              <w:jc w:val="center"/>
              <w:rPr>
                <w:rFonts w:eastAsia="Times New Roman" w:cs="Times New Roman"/>
                <w:color w:val="000000"/>
                <w:sz w:val="18"/>
                <w:szCs w:val="18"/>
                <w:lang w:val="fr-FR" w:eastAsia="fr-FR"/>
              </w:rPr>
            </w:pPr>
            <w:r w:rsidRPr="006A0E71">
              <w:rPr>
                <w:rFonts w:eastAsia="Times New Roman" w:cs="Times New Roman"/>
                <w:color w:val="000000"/>
                <w:sz w:val="18"/>
                <w:szCs w:val="18"/>
                <w:lang w:val="fr-FR" w:eastAsia="fr-FR"/>
              </w:rPr>
              <w:t>0.061 [0.048, 0.07]</w:t>
            </w:r>
          </w:p>
        </w:tc>
        <w:tc>
          <w:tcPr>
            <w:tcW w:w="0" w:type="auto"/>
            <w:tcMar>
              <w:top w:w="0" w:type="dxa"/>
              <w:left w:w="108" w:type="dxa"/>
              <w:bottom w:w="0" w:type="dxa"/>
              <w:right w:w="108" w:type="dxa"/>
            </w:tcMar>
            <w:vAlign w:val="center"/>
            <w:hideMark/>
          </w:tcPr>
          <w:p w:rsidR="006A0E71" w:rsidRPr="006A0E71" w:rsidRDefault="006A0E71" w:rsidP="006A0E71">
            <w:pPr>
              <w:spacing w:after="0" w:line="240" w:lineRule="auto"/>
              <w:jc w:val="center"/>
              <w:rPr>
                <w:rFonts w:eastAsia="Times New Roman" w:cs="Times New Roman"/>
                <w:color w:val="000000"/>
                <w:sz w:val="18"/>
                <w:szCs w:val="18"/>
                <w:lang w:val="fr-FR" w:eastAsia="fr-FR"/>
              </w:rPr>
            </w:pPr>
            <w:r w:rsidRPr="006A0E71">
              <w:rPr>
                <w:rFonts w:eastAsia="Times New Roman" w:cs="Times New Roman"/>
                <w:color w:val="000000"/>
                <w:sz w:val="18"/>
                <w:szCs w:val="18"/>
                <w:lang w:val="fr-FR" w:eastAsia="fr-FR"/>
              </w:rPr>
              <w:t>0.0613 [0.0478, 0.072]</w:t>
            </w:r>
          </w:p>
        </w:tc>
      </w:tr>
      <w:tr w:rsidR="006A0E71" w:rsidRPr="006A0E71" w:rsidTr="006A0E71">
        <w:trPr>
          <w:trHeight w:val="300"/>
          <w:jc w:val="center"/>
        </w:trPr>
        <w:tc>
          <w:tcPr>
            <w:tcW w:w="0" w:type="auto"/>
            <w:noWrap/>
            <w:tcMar>
              <w:top w:w="0" w:type="dxa"/>
              <w:left w:w="108" w:type="dxa"/>
              <w:bottom w:w="0" w:type="dxa"/>
              <w:right w:w="108" w:type="dxa"/>
            </w:tcMar>
            <w:vAlign w:val="center"/>
            <w:hideMark/>
          </w:tcPr>
          <w:p w:rsidR="006A0E71" w:rsidRPr="006A0E71" w:rsidRDefault="006A0E71" w:rsidP="006A0E71">
            <w:pPr>
              <w:spacing w:after="0" w:line="240" w:lineRule="auto"/>
              <w:jc w:val="left"/>
              <w:rPr>
                <w:rFonts w:eastAsia="Times New Roman" w:cs="Times New Roman"/>
                <w:color w:val="000000"/>
                <w:sz w:val="18"/>
                <w:szCs w:val="18"/>
                <w:lang w:val="fr-FR" w:eastAsia="fr-FR"/>
              </w:rPr>
            </w:pPr>
            <w:r w:rsidRPr="006A0E71">
              <w:rPr>
                <w:rFonts w:eastAsia="Times New Roman" w:cs="Times New Roman"/>
                <w:color w:val="000000"/>
                <w:sz w:val="18"/>
                <w:szCs w:val="18"/>
                <w:lang w:val="fr-FR" w:eastAsia="fr-FR"/>
              </w:rPr>
              <w:t>VaR (1%)</w:t>
            </w:r>
          </w:p>
        </w:tc>
        <w:tc>
          <w:tcPr>
            <w:tcW w:w="0" w:type="auto"/>
            <w:tcMar>
              <w:top w:w="0" w:type="dxa"/>
              <w:left w:w="108" w:type="dxa"/>
              <w:bottom w:w="0" w:type="dxa"/>
              <w:right w:w="108" w:type="dxa"/>
            </w:tcMar>
            <w:vAlign w:val="center"/>
            <w:hideMark/>
          </w:tcPr>
          <w:p w:rsidR="006A0E71" w:rsidRPr="006A0E71" w:rsidRDefault="006A0E71" w:rsidP="006A0E71">
            <w:pPr>
              <w:spacing w:after="0" w:line="240" w:lineRule="auto"/>
              <w:jc w:val="center"/>
              <w:rPr>
                <w:rFonts w:eastAsia="Times New Roman" w:cs="Times New Roman"/>
                <w:color w:val="000000"/>
                <w:sz w:val="18"/>
                <w:szCs w:val="18"/>
                <w:lang w:val="fr-FR" w:eastAsia="fr-FR"/>
              </w:rPr>
            </w:pPr>
            <w:r w:rsidRPr="006A0E71">
              <w:rPr>
                <w:rFonts w:eastAsia="Times New Roman" w:cs="Times New Roman"/>
                <w:color w:val="000000"/>
                <w:sz w:val="18"/>
                <w:szCs w:val="18"/>
                <w:lang w:val="fr-FR" w:eastAsia="fr-FR"/>
              </w:rPr>
              <w:t>0.0858 [0.0723, 0.1023]</w:t>
            </w:r>
          </w:p>
        </w:tc>
        <w:tc>
          <w:tcPr>
            <w:tcW w:w="0" w:type="auto"/>
            <w:tcMar>
              <w:top w:w="0" w:type="dxa"/>
              <w:left w:w="108" w:type="dxa"/>
              <w:bottom w:w="0" w:type="dxa"/>
              <w:right w:w="108" w:type="dxa"/>
            </w:tcMar>
            <w:vAlign w:val="center"/>
            <w:hideMark/>
          </w:tcPr>
          <w:p w:rsidR="006A0E71" w:rsidRPr="006A0E71" w:rsidRDefault="006A0E71" w:rsidP="006A0E71">
            <w:pPr>
              <w:spacing w:after="0" w:line="240" w:lineRule="auto"/>
              <w:jc w:val="center"/>
              <w:rPr>
                <w:rFonts w:eastAsia="Times New Roman" w:cs="Times New Roman"/>
                <w:color w:val="000000"/>
                <w:sz w:val="18"/>
                <w:szCs w:val="18"/>
                <w:lang w:val="fr-FR" w:eastAsia="fr-FR"/>
              </w:rPr>
            </w:pPr>
            <w:r w:rsidRPr="006A0E71">
              <w:rPr>
                <w:rFonts w:eastAsia="Times New Roman" w:cs="Times New Roman"/>
                <w:color w:val="000000"/>
                <w:sz w:val="18"/>
                <w:szCs w:val="18"/>
                <w:lang w:val="fr-FR" w:eastAsia="fr-FR"/>
              </w:rPr>
              <w:t>0.1064 [0.0991, 0.1174]</w:t>
            </w:r>
          </w:p>
        </w:tc>
        <w:tc>
          <w:tcPr>
            <w:tcW w:w="0" w:type="auto"/>
            <w:tcMar>
              <w:top w:w="0" w:type="dxa"/>
              <w:left w:w="108" w:type="dxa"/>
              <w:bottom w:w="0" w:type="dxa"/>
              <w:right w:w="108" w:type="dxa"/>
            </w:tcMar>
            <w:vAlign w:val="center"/>
            <w:hideMark/>
          </w:tcPr>
          <w:p w:rsidR="006A0E71" w:rsidRPr="006A0E71" w:rsidRDefault="006A0E71" w:rsidP="006A0E71">
            <w:pPr>
              <w:spacing w:after="0" w:line="240" w:lineRule="auto"/>
              <w:jc w:val="center"/>
              <w:rPr>
                <w:rFonts w:eastAsia="Times New Roman" w:cs="Times New Roman"/>
                <w:color w:val="000000"/>
                <w:sz w:val="18"/>
                <w:szCs w:val="18"/>
                <w:lang w:val="fr-FR" w:eastAsia="fr-FR"/>
              </w:rPr>
            </w:pPr>
            <w:r w:rsidRPr="006A0E71">
              <w:rPr>
                <w:rFonts w:eastAsia="Times New Roman" w:cs="Times New Roman"/>
                <w:color w:val="000000"/>
                <w:sz w:val="18"/>
                <w:szCs w:val="18"/>
                <w:lang w:val="fr-FR" w:eastAsia="fr-FR"/>
              </w:rPr>
              <w:t>0.105 [0.092, 0.108]</w:t>
            </w:r>
          </w:p>
        </w:tc>
        <w:tc>
          <w:tcPr>
            <w:tcW w:w="0" w:type="auto"/>
            <w:tcMar>
              <w:top w:w="0" w:type="dxa"/>
              <w:left w:w="108" w:type="dxa"/>
              <w:bottom w:w="0" w:type="dxa"/>
              <w:right w:w="108" w:type="dxa"/>
            </w:tcMar>
            <w:vAlign w:val="center"/>
            <w:hideMark/>
          </w:tcPr>
          <w:p w:rsidR="006A0E71" w:rsidRPr="006A0E71" w:rsidRDefault="006A0E71" w:rsidP="006A0E71">
            <w:pPr>
              <w:spacing w:after="0" w:line="240" w:lineRule="auto"/>
              <w:jc w:val="center"/>
              <w:rPr>
                <w:rFonts w:eastAsia="Times New Roman" w:cs="Times New Roman"/>
                <w:color w:val="000000"/>
                <w:sz w:val="18"/>
                <w:szCs w:val="18"/>
                <w:lang w:val="fr-FR" w:eastAsia="fr-FR"/>
              </w:rPr>
            </w:pPr>
            <w:r w:rsidRPr="006A0E71">
              <w:rPr>
                <w:rFonts w:eastAsia="Times New Roman" w:cs="Times New Roman"/>
                <w:color w:val="000000"/>
                <w:sz w:val="18"/>
                <w:szCs w:val="18"/>
                <w:lang w:val="fr-FR" w:eastAsia="fr-FR"/>
              </w:rPr>
              <w:t>0.111 [0.0961, 0.1208]</w:t>
            </w:r>
          </w:p>
        </w:tc>
      </w:tr>
      <w:tr w:rsidR="006A0E71" w:rsidRPr="006A0E71" w:rsidTr="006A0E71">
        <w:trPr>
          <w:trHeight w:val="300"/>
          <w:jc w:val="center"/>
        </w:trPr>
        <w:tc>
          <w:tcPr>
            <w:tcW w:w="0" w:type="auto"/>
            <w:noWrap/>
            <w:tcMar>
              <w:top w:w="0" w:type="dxa"/>
              <w:left w:w="108" w:type="dxa"/>
              <w:bottom w:w="0" w:type="dxa"/>
              <w:right w:w="108" w:type="dxa"/>
            </w:tcMar>
            <w:vAlign w:val="center"/>
            <w:hideMark/>
          </w:tcPr>
          <w:p w:rsidR="006A0E71" w:rsidRPr="006A0E71" w:rsidRDefault="006A0E71" w:rsidP="006A0E71">
            <w:pPr>
              <w:spacing w:after="0" w:line="240" w:lineRule="auto"/>
              <w:jc w:val="left"/>
              <w:rPr>
                <w:rFonts w:eastAsia="Times New Roman" w:cs="Times New Roman"/>
                <w:color w:val="000000"/>
                <w:sz w:val="18"/>
                <w:szCs w:val="18"/>
                <w:lang w:val="fr-FR" w:eastAsia="fr-FR"/>
              </w:rPr>
            </w:pPr>
            <w:r w:rsidRPr="006A0E71">
              <w:rPr>
                <w:rFonts w:eastAsia="Times New Roman" w:cs="Times New Roman"/>
                <w:color w:val="000000"/>
                <w:sz w:val="18"/>
                <w:szCs w:val="18"/>
                <w:lang w:val="fr-FR" w:eastAsia="fr-FR"/>
              </w:rPr>
              <w:t>ES (5%)</w:t>
            </w:r>
          </w:p>
        </w:tc>
        <w:tc>
          <w:tcPr>
            <w:tcW w:w="0" w:type="auto"/>
            <w:tcMar>
              <w:top w:w="0" w:type="dxa"/>
              <w:left w:w="108" w:type="dxa"/>
              <w:bottom w:w="0" w:type="dxa"/>
              <w:right w:w="108" w:type="dxa"/>
            </w:tcMar>
            <w:vAlign w:val="center"/>
            <w:hideMark/>
          </w:tcPr>
          <w:p w:rsidR="006A0E71" w:rsidRPr="006A0E71" w:rsidRDefault="006A0E71" w:rsidP="006A0E71">
            <w:pPr>
              <w:spacing w:after="0" w:line="240" w:lineRule="auto"/>
              <w:jc w:val="center"/>
              <w:rPr>
                <w:rFonts w:eastAsia="Times New Roman" w:cs="Times New Roman"/>
                <w:color w:val="000000"/>
                <w:sz w:val="18"/>
                <w:szCs w:val="18"/>
                <w:lang w:val="fr-FR" w:eastAsia="fr-FR"/>
              </w:rPr>
            </w:pPr>
            <w:r w:rsidRPr="006A0E71">
              <w:rPr>
                <w:rFonts w:eastAsia="Times New Roman" w:cs="Times New Roman"/>
                <w:color w:val="000000"/>
                <w:sz w:val="18"/>
                <w:szCs w:val="18"/>
                <w:lang w:val="fr-FR" w:eastAsia="fr-FR"/>
              </w:rPr>
              <w:t>0.0757 [0.0635, 0.0904]</w:t>
            </w:r>
          </w:p>
        </w:tc>
        <w:tc>
          <w:tcPr>
            <w:tcW w:w="0" w:type="auto"/>
            <w:tcMar>
              <w:top w:w="0" w:type="dxa"/>
              <w:left w:w="108" w:type="dxa"/>
              <w:bottom w:w="0" w:type="dxa"/>
              <w:right w:w="108" w:type="dxa"/>
            </w:tcMar>
            <w:vAlign w:val="center"/>
            <w:hideMark/>
          </w:tcPr>
          <w:p w:rsidR="006A0E71" w:rsidRPr="006A0E71" w:rsidRDefault="006A0E71" w:rsidP="006A0E71">
            <w:pPr>
              <w:spacing w:after="0" w:line="240" w:lineRule="auto"/>
              <w:jc w:val="center"/>
              <w:rPr>
                <w:rFonts w:eastAsia="Times New Roman" w:cs="Times New Roman"/>
                <w:color w:val="000000"/>
                <w:sz w:val="18"/>
                <w:szCs w:val="18"/>
                <w:lang w:val="fr-FR" w:eastAsia="fr-FR"/>
              </w:rPr>
            </w:pPr>
            <w:r w:rsidRPr="006A0E71">
              <w:rPr>
                <w:rFonts w:eastAsia="Times New Roman" w:cs="Times New Roman"/>
                <w:color w:val="000000"/>
                <w:sz w:val="18"/>
                <w:szCs w:val="18"/>
                <w:lang w:val="fr-FR" w:eastAsia="fr-FR"/>
              </w:rPr>
              <w:t>0.919 [0.0775, 0.1021]</w:t>
            </w:r>
          </w:p>
        </w:tc>
        <w:tc>
          <w:tcPr>
            <w:tcW w:w="0" w:type="auto"/>
            <w:tcMar>
              <w:top w:w="0" w:type="dxa"/>
              <w:left w:w="108" w:type="dxa"/>
              <w:bottom w:w="0" w:type="dxa"/>
              <w:right w:w="108" w:type="dxa"/>
            </w:tcMar>
            <w:vAlign w:val="center"/>
            <w:hideMark/>
          </w:tcPr>
          <w:p w:rsidR="006A0E71" w:rsidRPr="006A0E71" w:rsidRDefault="006A0E71" w:rsidP="006A0E71">
            <w:pPr>
              <w:spacing w:after="0" w:line="240" w:lineRule="auto"/>
              <w:jc w:val="center"/>
              <w:rPr>
                <w:rFonts w:eastAsia="Times New Roman" w:cs="Times New Roman"/>
                <w:color w:val="000000"/>
                <w:sz w:val="18"/>
                <w:szCs w:val="18"/>
                <w:lang w:val="fr-FR" w:eastAsia="fr-FR"/>
              </w:rPr>
            </w:pPr>
            <w:r w:rsidRPr="006A0E71">
              <w:rPr>
                <w:rFonts w:eastAsia="Times New Roman" w:cs="Times New Roman"/>
                <w:color w:val="000000"/>
                <w:sz w:val="18"/>
                <w:szCs w:val="18"/>
                <w:lang w:val="fr-FR" w:eastAsia="fr-FR"/>
              </w:rPr>
              <w:t>0.0922 [0.0774, 0.1087]</w:t>
            </w:r>
          </w:p>
        </w:tc>
        <w:tc>
          <w:tcPr>
            <w:tcW w:w="0" w:type="auto"/>
            <w:tcMar>
              <w:top w:w="0" w:type="dxa"/>
              <w:left w:w="108" w:type="dxa"/>
              <w:bottom w:w="0" w:type="dxa"/>
              <w:right w:w="108" w:type="dxa"/>
            </w:tcMar>
            <w:vAlign w:val="center"/>
            <w:hideMark/>
          </w:tcPr>
          <w:p w:rsidR="006A0E71" w:rsidRPr="006A0E71" w:rsidRDefault="006A0E71" w:rsidP="006A0E71">
            <w:pPr>
              <w:spacing w:after="0" w:line="240" w:lineRule="auto"/>
              <w:jc w:val="center"/>
              <w:rPr>
                <w:rFonts w:eastAsia="Times New Roman" w:cs="Times New Roman"/>
                <w:color w:val="000000"/>
                <w:sz w:val="18"/>
                <w:szCs w:val="18"/>
                <w:lang w:val="fr-FR" w:eastAsia="fr-FR"/>
              </w:rPr>
            </w:pPr>
            <w:r w:rsidRPr="006A0E71">
              <w:rPr>
                <w:rFonts w:eastAsia="Times New Roman" w:cs="Times New Roman"/>
                <w:color w:val="000000"/>
                <w:sz w:val="18"/>
                <w:szCs w:val="18"/>
                <w:lang w:val="fr-FR" w:eastAsia="fr-FR"/>
              </w:rPr>
              <w:t>0.0918 [0.0777, 0.1019]</w:t>
            </w:r>
          </w:p>
        </w:tc>
      </w:tr>
      <w:tr w:rsidR="006A0E71" w:rsidRPr="006A0E71" w:rsidTr="006A0E71">
        <w:trPr>
          <w:trHeight w:val="300"/>
          <w:jc w:val="center"/>
        </w:trPr>
        <w:tc>
          <w:tcPr>
            <w:tcW w:w="0" w:type="auto"/>
            <w:noWrap/>
            <w:tcMar>
              <w:top w:w="0" w:type="dxa"/>
              <w:left w:w="108" w:type="dxa"/>
              <w:bottom w:w="0" w:type="dxa"/>
              <w:right w:w="108" w:type="dxa"/>
            </w:tcMar>
            <w:vAlign w:val="center"/>
            <w:hideMark/>
          </w:tcPr>
          <w:p w:rsidR="006A0E71" w:rsidRPr="006A0E71" w:rsidRDefault="006A0E71" w:rsidP="006A0E71">
            <w:pPr>
              <w:spacing w:after="0" w:line="240" w:lineRule="auto"/>
              <w:jc w:val="left"/>
              <w:rPr>
                <w:rFonts w:eastAsia="Times New Roman" w:cs="Times New Roman"/>
                <w:color w:val="000000"/>
                <w:sz w:val="18"/>
                <w:szCs w:val="18"/>
                <w:lang w:val="fr-FR" w:eastAsia="fr-FR"/>
              </w:rPr>
            </w:pPr>
            <w:r w:rsidRPr="006A0E71">
              <w:rPr>
                <w:rFonts w:eastAsia="Times New Roman" w:cs="Times New Roman"/>
                <w:color w:val="000000"/>
                <w:sz w:val="18"/>
                <w:szCs w:val="18"/>
                <w:lang w:val="fr-FR" w:eastAsia="fr-FR"/>
              </w:rPr>
              <w:t>ES (1%)</w:t>
            </w:r>
          </w:p>
        </w:tc>
        <w:tc>
          <w:tcPr>
            <w:tcW w:w="0" w:type="auto"/>
            <w:tcMar>
              <w:top w:w="0" w:type="dxa"/>
              <w:left w:w="108" w:type="dxa"/>
              <w:bottom w:w="0" w:type="dxa"/>
              <w:right w:w="108" w:type="dxa"/>
            </w:tcMar>
            <w:vAlign w:val="center"/>
            <w:hideMark/>
          </w:tcPr>
          <w:p w:rsidR="006A0E71" w:rsidRPr="006A0E71" w:rsidRDefault="006A0E71" w:rsidP="006A0E71">
            <w:pPr>
              <w:spacing w:after="0" w:line="240" w:lineRule="auto"/>
              <w:jc w:val="center"/>
              <w:rPr>
                <w:rFonts w:eastAsia="Times New Roman" w:cs="Times New Roman"/>
                <w:color w:val="000000"/>
                <w:sz w:val="18"/>
                <w:szCs w:val="18"/>
                <w:lang w:val="fr-FR" w:eastAsia="fr-FR"/>
              </w:rPr>
            </w:pPr>
            <w:r w:rsidRPr="006A0E71">
              <w:rPr>
                <w:rFonts w:eastAsia="Times New Roman" w:cs="Times New Roman"/>
                <w:color w:val="000000"/>
                <w:sz w:val="18"/>
                <w:szCs w:val="18"/>
                <w:lang w:val="fr-FR" w:eastAsia="fr-FR"/>
              </w:rPr>
              <w:t>0.0988 [0.0836, 0.1176]</w:t>
            </w:r>
          </w:p>
        </w:tc>
        <w:tc>
          <w:tcPr>
            <w:tcW w:w="0" w:type="auto"/>
            <w:tcMar>
              <w:top w:w="0" w:type="dxa"/>
              <w:left w:w="108" w:type="dxa"/>
              <w:bottom w:w="0" w:type="dxa"/>
              <w:right w:w="108" w:type="dxa"/>
            </w:tcMar>
            <w:vAlign w:val="center"/>
            <w:hideMark/>
          </w:tcPr>
          <w:p w:rsidR="006A0E71" w:rsidRPr="006A0E71" w:rsidRDefault="006A0E71" w:rsidP="006A0E71">
            <w:pPr>
              <w:spacing w:after="0" w:line="240" w:lineRule="auto"/>
              <w:jc w:val="center"/>
              <w:rPr>
                <w:rFonts w:eastAsia="Times New Roman" w:cs="Times New Roman"/>
                <w:color w:val="000000"/>
                <w:sz w:val="18"/>
                <w:szCs w:val="18"/>
                <w:lang w:val="fr-FR" w:eastAsia="fr-FR"/>
              </w:rPr>
            </w:pPr>
            <w:r w:rsidRPr="006A0E71">
              <w:rPr>
                <w:rFonts w:eastAsia="Times New Roman" w:cs="Times New Roman"/>
                <w:color w:val="000000"/>
                <w:sz w:val="18"/>
                <w:szCs w:val="18"/>
                <w:lang w:val="fr-FR" w:eastAsia="fr-FR"/>
              </w:rPr>
              <w:t>0.1375 [0.1245, 0.1469]</w:t>
            </w:r>
          </w:p>
        </w:tc>
        <w:tc>
          <w:tcPr>
            <w:tcW w:w="0" w:type="auto"/>
            <w:tcMar>
              <w:top w:w="0" w:type="dxa"/>
              <w:left w:w="108" w:type="dxa"/>
              <w:bottom w:w="0" w:type="dxa"/>
              <w:right w:w="108" w:type="dxa"/>
            </w:tcMar>
            <w:vAlign w:val="center"/>
            <w:hideMark/>
          </w:tcPr>
          <w:p w:rsidR="006A0E71" w:rsidRPr="006A0E71" w:rsidRDefault="006A0E71" w:rsidP="006A0E71">
            <w:pPr>
              <w:spacing w:after="0" w:line="240" w:lineRule="auto"/>
              <w:jc w:val="center"/>
              <w:rPr>
                <w:rFonts w:eastAsia="Times New Roman" w:cs="Times New Roman"/>
                <w:color w:val="000000"/>
                <w:sz w:val="18"/>
                <w:szCs w:val="18"/>
                <w:lang w:val="fr-FR" w:eastAsia="fr-FR"/>
              </w:rPr>
            </w:pPr>
            <w:r w:rsidRPr="006A0E71">
              <w:rPr>
                <w:rFonts w:eastAsia="Times New Roman" w:cs="Times New Roman"/>
                <w:color w:val="000000"/>
                <w:sz w:val="18"/>
                <w:szCs w:val="18"/>
                <w:lang w:val="fr-FR" w:eastAsia="fr-FR"/>
              </w:rPr>
              <w:t>0.1698 [0.1279, 0.2099]</w:t>
            </w:r>
          </w:p>
        </w:tc>
        <w:tc>
          <w:tcPr>
            <w:tcW w:w="0" w:type="auto"/>
            <w:tcMar>
              <w:top w:w="0" w:type="dxa"/>
              <w:left w:w="108" w:type="dxa"/>
              <w:bottom w:w="0" w:type="dxa"/>
              <w:right w:w="108" w:type="dxa"/>
            </w:tcMar>
            <w:vAlign w:val="center"/>
            <w:hideMark/>
          </w:tcPr>
          <w:p w:rsidR="006A0E71" w:rsidRPr="006A0E71" w:rsidRDefault="006A0E71" w:rsidP="006A0E71">
            <w:pPr>
              <w:spacing w:after="0" w:line="240" w:lineRule="auto"/>
              <w:jc w:val="center"/>
              <w:rPr>
                <w:rFonts w:eastAsia="Times New Roman" w:cs="Times New Roman"/>
                <w:color w:val="000000"/>
                <w:sz w:val="18"/>
                <w:szCs w:val="18"/>
                <w:lang w:val="fr-FR" w:eastAsia="fr-FR"/>
              </w:rPr>
            </w:pPr>
            <w:r w:rsidRPr="006A0E71">
              <w:rPr>
                <w:rFonts w:eastAsia="Times New Roman" w:cs="Times New Roman"/>
                <w:color w:val="000000"/>
                <w:sz w:val="18"/>
                <w:szCs w:val="18"/>
                <w:lang w:val="fr-FR" w:eastAsia="fr-FR"/>
              </w:rPr>
              <w:t>0.138 [0.1253, 0.1484]</w:t>
            </w:r>
          </w:p>
        </w:tc>
      </w:tr>
    </w:tbl>
    <w:p w:rsidR="00973321" w:rsidRDefault="00973321" w:rsidP="003820CB">
      <w:pPr>
        <w:rPr>
          <w:rFonts w:eastAsiaTheme="minorEastAsia"/>
        </w:rPr>
      </w:pPr>
    </w:p>
    <w:p w:rsidR="005D4BF4" w:rsidRDefault="005D4BF4" w:rsidP="005D4BF4">
      <w:pPr>
        <w:rPr>
          <w:rFonts w:eastAsiaTheme="minorEastAsia"/>
        </w:rPr>
      </w:pPr>
      <w:r>
        <w:rPr>
          <w:rFonts w:eastAsiaTheme="minorEastAsia"/>
        </w:rPr>
        <w:t>The analysis of the data indicates that the Gaussian hypothesis under</w:t>
      </w:r>
      <w:r w:rsidR="008B341D">
        <w:rPr>
          <w:rFonts w:eastAsiaTheme="minorEastAsia"/>
        </w:rPr>
        <w:t>estimates the risk associated with</w:t>
      </w:r>
      <w:r>
        <w:rPr>
          <w:rFonts w:eastAsiaTheme="minorEastAsia"/>
        </w:rPr>
        <w:t xml:space="preserve"> the portfolio considered. Although for VaR at 5% this underestimation of the risk is limited (the relative percentage difference</w:t>
      </w:r>
      <w:r>
        <w:rPr>
          <w:rStyle w:val="Appelnotedebasdep"/>
          <w:rFonts w:eastAsiaTheme="minorEastAsia"/>
        </w:rPr>
        <w:footnoteReference w:id="1"/>
      </w:r>
      <w:r>
        <w:rPr>
          <w:rFonts w:eastAsiaTheme="minorEastAsia"/>
        </w:rPr>
        <w:t xml:space="preserve"> from Gaussian to the other methods in this case is below 2%), it becomes very high for VaR at 1% (about 20% underestimation of the risk) as well as for ES at 5% (about 18% underestimation of the risk) and ES at 1%. In the latter case we estimated that the highest underestimation of the risk spans from about 28% (relative difference of the Gaussian case to the use of historical data and GPD), up to above 40% when using a kernel method. Finally, for ES at 1%, the underestimation is so extreme that the upper boundary of the Gaussian estimate is below the lower boundaries obtained from the 3 other methods. </w:t>
      </w:r>
      <w:r w:rsidR="00935A97">
        <w:fldChar w:fldCharType="begin"/>
      </w:r>
      <w:r w:rsidR="008B341D">
        <w:rPr>
          <w:rFonts w:eastAsiaTheme="minorEastAsia"/>
        </w:rPr>
        <w:instrText xml:space="preserve"> REF _Ref25575853 \h </w:instrText>
      </w:r>
      <w:r w:rsidR="00935A97">
        <w:fldChar w:fldCharType="separate"/>
      </w:r>
      <w:r w:rsidR="008B341D">
        <w:t xml:space="preserve">Figure </w:t>
      </w:r>
      <w:r w:rsidR="008B341D">
        <w:rPr>
          <w:noProof/>
        </w:rPr>
        <w:t>4</w:t>
      </w:r>
      <w:r w:rsidR="00935A97">
        <w:fldChar w:fldCharType="end"/>
      </w:r>
      <w:r>
        <w:rPr>
          <w:rFonts w:eastAsiaTheme="minorEastAsia"/>
        </w:rPr>
        <w:t xml:space="preserve"> clearly </w:t>
      </w:r>
      <w:r w:rsidR="003C68DB">
        <w:rPr>
          <w:rFonts w:eastAsiaTheme="minorEastAsia"/>
        </w:rPr>
        <w:t xml:space="preserve">illustrates </w:t>
      </w:r>
      <w:r>
        <w:rPr>
          <w:rFonts w:eastAsiaTheme="minorEastAsia"/>
        </w:rPr>
        <w:t xml:space="preserve">the systematic underestimation of the risk incurred by the theoretical owner of the portfolio, if </w:t>
      </w:r>
      <w:r w:rsidR="003C68DB">
        <w:rPr>
          <w:rFonts w:eastAsiaTheme="minorEastAsia"/>
        </w:rPr>
        <w:t>using</w:t>
      </w:r>
      <w:r>
        <w:rPr>
          <w:rFonts w:eastAsiaTheme="minorEastAsia"/>
        </w:rPr>
        <w:t xml:space="preserve"> the Gaussian approximation.</w:t>
      </w:r>
    </w:p>
    <w:p w:rsidR="00A86DDB" w:rsidRDefault="005D4BF4" w:rsidP="005D4BF4">
      <w:pPr>
        <w:rPr>
          <w:rFonts w:eastAsiaTheme="minorEastAsia"/>
        </w:rPr>
      </w:pPr>
      <w:r>
        <w:rPr>
          <w:rFonts w:eastAsiaTheme="minorEastAsia"/>
        </w:rPr>
        <w:t>With the exception of ES estimate at 1% obtained using the kernel method, the use of historical data, kernel method and GPD give strikingly coherent results, suggesting that they can be used interchangeably when estimating risks</w:t>
      </w:r>
      <w:r w:rsidR="00A86DDB">
        <w:rPr>
          <w:rFonts w:eastAsiaTheme="minorEastAsia"/>
        </w:rPr>
        <w:t xml:space="preserve"> associated with a portfolio of cryptocurrencies.</w:t>
      </w:r>
    </w:p>
    <w:p w:rsidR="005D4BF4" w:rsidRPr="003820CB" w:rsidRDefault="005D4BF4" w:rsidP="005D4BF4">
      <w:r>
        <w:rPr>
          <w:rFonts w:eastAsiaTheme="minorEastAsia"/>
        </w:rPr>
        <w:t xml:space="preserve">The results obtained in the present study </w:t>
      </w:r>
      <w:r w:rsidR="00427D92">
        <w:rPr>
          <w:rFonts w:eastAsiaTheme="minorEastAsia"/>
        </w:rPr>
        <w:t xml:space="preserve">also </w:t>
      </w:r>
      <w:r>
        <w:rPr>
          <w:rFonts w:eastAsiaTheme="minorEastAsia"/>
        </w:rPr>
        <w:t xml:space="preserve">suggest that an investor in cryptocurrencies is exposed to very high risks. For instance, the owner of the fictive portfolio discussed here would be exposed, at a given time </w:t>
      </w:r>
      <w:r w:rsidRPr="003508A2">
        <w:rPr>
          <w:rFonts w:eastAsiaTheme="minorEastAsia"/>
          <w:i/>
        </w:rPr>
        <w:t>t</w:t>
      </w:r>
      <w:r>
        <w:rPr>
          <w:rFonts w:eastAsiaTheme="minorEastAsia"/>
        </w:rPr>
        <w:t xml:space="preserve">, to losses above 6% with a probability of 5%. This is </w:t>
      </w:r>
      <w:r w:rsidR="004929DB">
        <w:rPr>
          <w:rFonts w:eastAsiaTheme="minorEastAsia"/>
        </w:rPr>
        <w:t xml:space="preserve">equivalent </w:t>
      </w:r>
      <w:r>
        <w:rPr>
          <w:rFonts w:eastAsiaTheme="minorEastAsia"/>
        </w:rPr>
        <w:t xml:space="preserve">to </w:t>
      </w:r>
      <w:r w:rsidR="004929DB">
        <w:rPr>
          <w:rFonts w:eastAsiaTheme="minorEastAsia"/>
        </w:rPr>
        <w:t>claiming</w:t>
      </w:r>
      <w:r>
        <w:rPr>
          <w:rFonts w:eastAsiaTheme="minorEastAsia"/>
        </w:rPr>
        <w:t xml:space="preserve"> that </w:t>
      </w:r>
      <w:r w:rsidR="004929DB">
        <w:rPr>
          <w:rFonts w:eastAsiaTheme="minorEastAsia"/>
        </w:rPr>
        <w:t xml:space="preserve">an </w:t>
      </w:r>
      <w:r>
        <w:rPr>
          <w:rFonts w:eastAsiaTheme="minorEastAsia"/>
        </w:rPr>
        <w:t xml:space="preserve">investor has a 95% chance of losing more than 6% once every 20 days. In addition, for </w:t>
      </w:r>
      <w:r w:rsidR="004929DB">
        <w:rPr>
          <w:rFonts w:eastAsiaTheme="minorEastAsia"/>
        </w:rPr>
        <w:t xml:space="preserve">the </w:t>
      </w:r>
      <w:r>
        <w:rPr>
          <w:rFonts w:eastAsiaTheme="minorEastAsia"/>
        </w:rPr>
        <w:t>days in which the losses are above the</w:t>
      </w:r>
      <w:r w:rsidR="004929DB">
        <w:rPr>
          <w:rFonts w:eastAsiaTheme="minorEastAsia"/>
        </w:rPr>
        <w:t xml:space="preserve"> 6%</w:t>
      </w:r>
      <w:r>
        <w:rPr>
          <w:rFonts w:eastAsiaTheme="minorEastAsia"/>
        </w:rPr>
        <w:t xml:space="preserve"> threshold</w:t>
      </w:r>
      <w:r w:rsidR="004929DB">
        <w:rPr>
          <w:rFonts w:eastAsiaTheme="minorEastAsia"/>
        </w:rPr>
        <w:t>,</w:t>
      </w:r>
      <w:r w:rsidR="0054579E">
        <w:rPr>
          <w:rFonts w:eastAsiaTheme="minorEastAsia"/>
        </w:rPr>
        <w:t xml:space="preserve"> </w:t>
      </w:r>
      <w:r>
        <w:rPr>
          <w:rFonts w:eastAsiaTheme="minorEastAsia"/>
        </w:rPr>
        <w:t>the average loss will be above 9%. A similar estimation can be made also for a confidence level 1%, both in terms of VaR and 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83"/>
        <w:gridCol w:w="4583"/>
      </w:tblGrid>
      <w:tr w:rsidR="006D6657" w:rsidTr="00805CF4">
        <w:tc>
          <w:tcPr>
            <w:tcW w:w="4583" w:type="dxa"/>
          </w:tcPr>
          <w:p w:rsidR="006D6657" w:rsidRDefault="006D6657" w:rsidP="006D6657">
            <w:pPr>
              <w:jc w:val="center"/>
              <w:rPr>
                <w:rFonts w:eastAsiaTheme="minorEastAsia"/>
              </w:rPr>
            </w:pPr>
            <w:r>
              <w:rPr>
                <w:rFonts w:eastAsiaTheme="minorEastAsia"/>
                <w:noProof/>
                <w:lang w:val="fr-FR" w:eastAsia="fr-FR"/>
              </w:rPr>
              <w:lastRenderedPageBreak/>
              <w:drawing>
                <wp:inline distT="0" distB="0" distL="0" distR="0">
                  <wp:extent cx="2670659" cy="2160000"/>
                  <wp:effectExtent l="19050" t="0" r="0" b="0"/>
                  <wp:docPr id="1" name="Image 48" descr="C:\Users\Biagio\AppData\Local\Microsoft\Windows\INetCache\Content.Word\boxplot_VaR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Biagio\AppData\Local\Microsoft\Windows\INetCache\Content.Word\boxplot_VaR_5.png"/>
                          <pic:cNvPicPr>
                            <a:picLocks noChangeAspect="1" noChangeArrowheads="1"/>
                          </pic:cNvPicPr>
                        </pic:nvPicPr>
                        <pic:blipFill>
                          <a:blip r:embed="rId11" cstate="print"/>
                          <a:srcRect/>
                          <a:stretch>
                            <a:fillRect/>
                          </a:stretch>
                        </pic:blipFill>
                        <pic:spPr bwMode="auto">
                          <a:xfrm>
                            <a:off x="0" y="0"/>
                            <a:ext cx="2670659" cy="2160000"/>
                          </a:xfrm>
                          <a:prstGeom prst="rect">
                            <a:avLst/>
                          </a:prstGeom>
                          <a:noFill/>
                          <a:ln w="9525">
                            <a:noFill/>
                            <a:miter lim="800000"/>
                            <a:headEnd/>
                            <a:tailEnd/>
                          </a:ln>
                        </pic:spPr>
                      </pic:pic>
                    </a:graphicData>
                  </a:graphic>
                </wp:inline>
              </w:drawing>
            </w:r>
          </w:p>
        </w:tc>
        <w:tc>
          <w:tcPr>
            <w:tcW w:w="4583" w:type="dxa"/>
          </w:tcPr>
          <w:p w:rsidR="006D6657" w:rsidRDefault="006D6657" w:rsidP="006D6657">
            <w:pPr>
              <w:jc w:val="center"/>
              <w:rPr>
                <w:rFonts w:eastAsiaTheme="minorEastAsia"/>
              </w:rPr>
            </w:pPr>
            <w:r>
              <w:rPr>
                <w:rFonts w:eastAsiaTheme="minorEastAsia"/>
                <w:noProof/>
                <w:lang w:val="fr-FR" w:eastAsia="fr-FR"/>
              </w:rPr>
              <w:drawing>
                <wp:inline distT="0" distB="0" distL="0" distR="0">
                  <wp:extent cx="2679700" cy="2159000"/>
                  <wp:effectExtent l="19050" t="0" r="6350" b="0"/>
                  <wp:docPr id="60" name="Image 60" descr="C:\Users\Biagio\AppData\Local\Microsoft\Windows\INetCache\Content.Word\boxplot_Va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Biagio\AppData\Local\Microsoft\Windows\INetCache\Content.Word\boxplot_VaR_1.png"/>
                          <pic:cNvPicPr>
                            <a:picLocks noChangeAspect="1" noChangeArrowheads="1"/>
                          </pic:cNvPicPr>
                        </pic:nvPicPr>
                        <pic:blipFill>
                          <a:blip r:embed="rId12" cstate="print"/>
                          <a:srcRect/>
                          <a:stretch>
                            <a:fillRect/>
                          </a:stretch>
                        </pic:blipFill>
                        <pic:spPr bwMode="auto">
                          <a:xfrm>
                            <a:off x="0" y="0"/>
                            <a:ext cx="2679700" cy="2159000"/>
                          </a:xfrm>
                          <a:prstGeom prst="rect">
                            <a:avLst/>
                          </a:prstGeom>
                          <a:noFill/>
                          <a:ln w="9525">
                            <a:noFill/>
                            <a:miter lim="800000"/>
                            <a:headEnd/>
                            <a:tailEnd/>
                          </a:ln>
                        </pic:spPr>
                      </pic:pic>
                    </a:graphicData>
                  </a:graphic>
                </wp:inline>
              </w:drawing>
            </w:r>
          </w:p>
        </w:tc>
      </w:tr>
      <w:tr w:rsidR="006D6657" w:rsidTr="00805CF4">
        <w:tc>
          <w:tcPr>
            <w:tcW w:w="4583" w:type="dxa"/>
          </w:tcPr>
          <w:p w:rsidR="006D6657" w:rsidRDefault="006D6657" w:rsidP="006D6657">
            <w:pPr>
              <w:jc w:val="center"/>
              <w:rPr>
                <w:rFonts w:eastAsiaTheme="minorEastAsia"/>
              </w:rPr>
            </w:pPr>
            <w:r>
              <w:rPr>
                <w:rFonts w:eastAsiaTheme="minorEastAsia"/>
                <w:noProof/>
                <w:lang w:val="fr-FR" w:eastAsia="fr-FR"/>
              </w:rPr>
              <w:drawing>
                <wp:inline distT="0" distB="0" distL="0" distR="0">
                  <wp:extent cx="2679700" cy="2159000"/>
                  <wp:effectExtent l="19050" t="0" r="6350" b="0"/>
                  <wp:docPr id="64" name="Image 64" descr="C:\Users\Biagio\AppData\Local\Microsoft\Windows\INetCache\Content.Word\boxplot_ES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Biagio\AppData\Local\Microsoft\Windows\INetCache\Content.Word\boxplot_ES_5.png"/>
                          <pic:cNvPicPr>
                            <a:picLocks noChangeAspect="1" noChangeArrowheads="1"/>
                          </pic:cNvPicPr>
                        </pic:nvPicPr>
                        <pic:blipFill>
                          <a:blip r:embed="rId13" cstate="print"/>
                          <a:srcRect/>
                          <a:stretch>
                            <a:fillRect/>
                          </a:stretch>
                        </pic:blipFill>
                        <pic:spPr bwMode="auto">
                          <a:xfrm>
                            <a:off x="0" y="0"/>
                            <a:ext cx="2679700" cy="2159000"/>
                          </a:xfrm>
                          <a:prstGeom prst="rect">
                            <a:avLst/>
                          </a:prstGeom>
                          <a:noFill/>
                          <a:ln w="9525">
                            <a:noFill/>
                            <a:miter lim="800000"/>
                            <a:headEnd/>
                            <a:tailEnd/>
                          </a:ln>
                        </pic:spPr>
                      </pic:pic>
                    </a:graphicData>
                  </a:graphic>
                </wp:inline>
              </w:drawing>
            </w:r>
          </w:p>
        </w:tc>
        <w:tc>
          <w:tcPr>
            <w:tcW w:w="4583" w:type="dxa"/>
          </w:tcPr>
          <w:p w:rsidR="006D6657" w:rsidRDefault="006D6657" w:rsidP="006D6657">
            <w:pPr>
              <w:jc w:val="center"/>
              <w:rPr>
                <w:rFonts w:eastAsiaTheme="minorEastAsia"/>
              </w:rPr>
            </w:pPr>
            <w:r>
              <w:rPr>
                <w:rFonts w:eastAsiaTheme="minorEastAsia"/>
                <w:noProof/>
                <w:lang w:val="fr-FR" w:eastAsia="fr-FR"/>
              </w:rPr>
              <w:drawing>
                <wp:inline distT="0" distB="0" distL="0" distR="0">
                  <wp:extent cx="2648585" cy="2159635"/>
                  <wp:effectExtent l="19050" t="0" r="0" b="0"/>
                  <wp:docPr id="68" name="Image 68" descr="C:\Users\Biagio\AppData\Local\Microsoft\Windows\INetCache\Content.Word\boxplot_E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Biagio\AppData\Local\Microsoft\Windows\INetCache\Content.Word\boxplot_ES_1.png"/>
                          <pic:cNvPicPr>
                            <a:picLocks noChangeAspect="1" noChangeArrowheads="1"/>
                          </pic:cNvPicPr>
                        </pic:nvPicPr>
                        <pic:blipFill>
                          <a:blip r:embed="rId14" cstate="print"/>
                          <a:srcRect/>
                          <a:stretch>
                            <a:fillRect/>
                          </a:stretch>
                        </pic:blipFill>
                        <pic:spPr bwMode="auto">
                          <a:xfrm>
                            <a:off x="0" y="0"/>
                            <a:ext cx="2648585" cy="2159635"/>
                          </a:xfrm>
                          <a:prstGeom prst="rect">
                            <a:avLst/>
                          </a:prstGeom>
                          <a:noFill/>
                          <a:ln w="9525">
                            <a:noFill/>
                            <a:miter lim="800000"/>
                            <a:headEnd/>
                            <a:tailEnd/>
                          </a:ln>
                        </pic:spPr>
                      </pic:pic>
                    </a:graphicData>
                  </a:graphic>
                </wp:inline>
              </w:drawing>
            </w:r>
          </w:p>
        </w:tc>
      </w:tr>
      <w:tr w:rsidR="001B3CB7" w:rsidTr="00805CF4">
        <w:tc>
          <w:tcPr>
            <w:tcW w:w="4583" w:type="dxa"/>
          </w:tcPr>
          <w:p w:rsidR="001B3CB7" w:rsidRDefault="001B3CB7" w:rsidP="000630E1">
            <w:pPr>
              <w:rPr>
                <w:rFonts w:eastAsiaTheme="minorEastAsia"/>
                <w:noProof/>
                <w:lang w:val="fr-FR" w:eastAsia="fr-FR"/>
              </w:rPr>
            </w:pPr>
          </w:p>
        </w:tc>
        <w:tc>
          <w:tcPr>
            <w:tcW w:w="4583" w:type="dxa"/>
          </w:tcPr>
          <w:p w:rsidR="001B3CB7" w:rsidRDefault="001B3CB7" w:rsidP="001B3CB7">
            <w:pPr>
              <w:keepNext/>
              <w:jc w:val="center"/>
              <w:rPr>
                <w:rFonts w:eastAsiaTheme="minorEastAsia"/>
                <w:noProof/>
                <w:lang w:val="fr-FR" w:eastAsia="fr-FR"/>
              </w:rPr>
            </w:pPr>
          </w:p>
        </w:tc>
      </w:tr>
    </w:tbl>
    <w:p w:rsidR="00973321" w:rsidRDefault="001B3CB7" w:rsidP="000630E1">
      <w:pPr>
        <w:pStyle w:val="Lgende"/>
        <w:jc w:val="center"/>
        <w:rPr>
          <w:rFonts w:eastAsiaTheme="minorEastAsia"/>
        </w:rPr>
      </w:pPr>
      <w:bookmarkStart w:id="32" w:name="_Ref25575853"/>
      <w:r>
        <w:t xml:space="preserve">Figure </w:t>
      </w:r>
      <w:fldSimple w:instr=" SEQ Figure \* ARABIC ">
        <w:r w:rsidR="00E90C2F">
          <w:rPr>
            <w:noProof/>
          </w:rPr>
          <w:t>4</w:t>
        </w:r>
      </w:fldSimple>
      <w:bookmarkEnd w:id="32"/>
      <w:r>
        <w:t>. VaR and ES sub-sampling distributions (confidence levels 5% and 1%). The sub-sam</w:t>
      </w:r>
      <w:r w:rsidR="004929DB">
        <w:t>p</w:t>
      </w:r>
      <w:r>
        <w:t xml:space="preserve">le size is </w:t>
      </w:r>
      <w:r w:rsidRPr="001B3CB7">
        <w:rPr>
          <w:i/>
        </w:rPr>
        <w:t>b=T/2=775</w:t>
      </w:r>
      <w:r>
        <w:t>.</w:t>
      </w:r>
    </w:p>
    <w:p w:rsidR="001B031B" w:rsidRDefault="00B51AEE" w:rsidP="001B031B">
      <w:pPr>
        <w:pStyle w:val="Titre2"/>
        <w:numPr>
          <w:ilvl w:val="0"/>
          <w:numId w:val="3"/>
        </w:numPr>
      </w:pPr>
      <w:bookmarkStart w:id="33" w:name="_Ref25225536"/>
      <w:bookmarkStart w:id="34" w:name="_Toc25585446"/>
      <w:r>
        <w:t>Conclusion</w:t>
      </w:r>
      <w:bookmarkEnd w:id="33"/>
      <w:r w:rsidR="00DA5B01">
        <w:t xml:space="preserve"> and perspectives</w:t>
      </w:r>
      <w:bookmarkEnd w:id="34"/>
    </w:p>
    <w:p w:rsidR="00676EC1" w:rsidRDefault="003A1744" w:rsidP="00676EC1">
      <w:r>
        <w:t xml:space="preserve">The present study investigates the risk measures VaR and ES applied to a portfolio of cryptocurrencies. We considered and compared </w:t>
      </w:r>
      <w:r w:rsidR="00427D92">
        <w:t xml:space="preserve">4 </w:t>
      </w:r>
      <w:r>
        <w:t>approaches to estimate the</w:t>
      </w:r>
      <w:r w:rsidR="00F02A45">
        <w:t>se</w:t>
      </w:r>
      <w:r>
        <w:t xml:space="preserve"> risk measures </w:t>
      </w:r>
      <w:r w:rsidR="00427D92">
        <w:t>which are the</w:t>
      </w:r>
      <w:r>
        <w:t xml:space="preserve"> Gaussian assumption, historical data, kernel method and Generalized Pareto Distribution. We found that the Gaussian method largely underestimates both the VaR and the ES of the portfolio considered</w:t>
      </w:r>
      <w:r w:rsidR="00427D92">
        <w:t xml:space="preserve"> and therefore</w:t>
      </w:r>
      <w:r>
        <w:t xml:space="preserve"> the Gaussian assumption is not appropriate to quantify (and to account for) the risk a</w:t>
      </w:r>
      <w:r w:rsidR="00CC6662">
        <w:t>ssociated with</w:t>
      </w:r>
      <w:r>
        <w:t xml:space="preserve"> a portfolio of cryptocurrencies.</w:t>
      </w:r>
    </w:p>
    <w:p w:rsidR="003A1744" w:rsidRDefault="005371D6" w:rsidP="00676EC1">
      <w:r>
        <w:t>We estimated that the VaR (at 5%) of a generic portfolio of cryptocurrencies is of the order of 6% while the ES corresponding to this Value-at-Risk is above 9%</w:t>
      </w:r>
      <w:r w:rsidR="009A68B2">
        <w:t>, which allows us to suggest</w:t>
      </w:r>
      <w:r w:rsidR="00427D92">
        <w:t xml:space="preserve"> that i</w:t>
      </w:r>
      <w:r w:rsidR="001A02CC">
        <w:t xml:space="preserve">nvesting in cryptocurrencies </w:t>
      </w:r>
      <w:r w:rsidR="00427D92">
        <w:t xml:space="preserve">is </w:t>
      </w:r>
      <w:r w:rsidR="001A02CC">
        <w:t>not appropriate for risk adverse investor</w:t>
      </w:r>
      <w:r w:rsidR="00827130">
        <w:t>s</w:t>
      </w:r>
      <w:r w:rsidR="001A02CC">
        <w:t xml:space="preserve">. </w:t>
      </w:r>
      <w:r w:rsidR="009A68B2">
        <w:t>H</w:t>
      </w:r>
      <w:r w:rsidR="001A02CC">
        <w:t>owever</w:t>
      </w:r>
      <w:r w:rsidR="009A68B2">
        <w:t>, we would like</w:t>
      </w:r>
      <w:r w:rsidR="001A02CC">
        <w:t xml:space="preserve"> to stress the </w:t>
      </w:r>
      <w:r w:rsidR="00AA79CE">
        <w:t>fact</w:t>
      </w:r>
      <w:r w:rsidR="001A02CC">
        <w:t xml:space="preserve"> that the portfolio considered in this study is not optimized to reduce the VaR and better allocations of the assets can be </w:t>
      </w:r>
      <w:r w:rsidR="00AA79CE">
        <w:t xml:space="preserve">studied, potentially </w:t>
      </w:r>
      <w:r w:rsidR="00C72278">
        <w:t>leading</w:t>
      </w:r>
      <w:r w:rsidR="00AA79CE">
        <w:t xml:space="preserve"> </w:t>
      </w:r>
      <w:r w:rsidR="001A02CC">
        <w:t>to a lower risk.</w:t>
      </w:r>
    </w:p>
    <w:p w:rsidR="00C72278" w:rsidRDefault="00802BC5" w:rsidP="00676EC1">
      <w:r>
        <w:t xml:space="preserve">In conclusion, </w:t>
      </w:r>
      <w:r w:rsidR="00F02A45">
        <w:t xml:space="preserve">this study provides some tools to quantify risks that can be implemented in routine tasks of risk management. The study could </w:t>
      </w:r>
      <w:r w:rsidR="00CC6662">
        <w:t>be extended by</w:t>
      </w:r>
      <w:r w:rsidR="009A68B2">
        <w:t xml:space="preserve"> considering</w:t>
      </w:r>
      <w:r w:rsidR="00F02A45">
        <w:t xml:space="preserve"> other methods of estimation (such as copula</w:t>
      </w:r>
      <w:r w:rsidR="0054579E">
        <w:t xml:space="preserve"> and Monte Carlo simulations</w:t>
      </w:r>
      <w:r w:rsidR="00F02A45">
        <w:t>)</w:t>
      </w:r>
      <w:r w:rsidR="009A68B2">
        <w:t>,</w:t>
      </w:r>
      <w:r w:rsidR="00F02A45">
        <w:t xml:space="preserve"> </w:t>
      </w:r>
      <w:r w:rsidR="00CC6662">
        <w:t xml:space="preserve">by </w:t>
      </w:r>
      <w:r w:rsidR="00F02A45">
        <w:t>estimating the sensitivities of VaR and ES</w:t>
      </w:r>
      <w:r w:rsidR="009A68B2">
        <w:t xml:space="preserve">, and </w:t>
      </w:r>
      <w:r w:rsidR="00CC6662">
        <w:t xml:space="preserve">by </w:t>
      </w:r>
      <w:r w:rsidR="00F02A45">
        <w:t xml:space="preserve">collecting new </w:t>
      </w:r>
      <w:r w:rsidR="009A68B2">
        <w:t>cryptocurrenc</w:t>
      </w:r>
      <w:r w:rsidR="00827130">
        <w:t>y</w:t>
      </w:r>
      <w:bookmarkStart w:id="35" w:name="_GoBack"/>
      <w:bookmarkEnd w:id="35"/>
      <w:r w:rsidR="009A68B2">
        <w:t xml:space="preserve"> </w:t>
      </w:r>
      <w:r w:rsidR="00F02A45">
        <w:t>data over the  following months in order to test if the predicted values of VaR and ES can be explained by the real (future) empirical loss distribution</w:t>
      </w:r>
      <w:r w:rsidR="00CC6662">
        <w:t>s</w:t>
      </w:r>
      <w:r w:rsidR="00F02A45">
        <w:t>.</w:t>
      </w:r>
    </w:p>
    <w:p w:rsidR="0064162E" w:rsidRDefault="0064162E" w:rsidP="00676EC1"/>
    <w:p w:rsidR="000B4B3D" w:rsidRDefault="000B4B3D"/>
    <w:sdt>
      <w:sdtPr>
        <w:rPr>
          <w:rFonts w:eastAsiaTheme="minorHAnsi" w:cstheme="minorBidi"/>
          <w:b w:val="0"/>
          <w:color w:val="auto"/>
          <w:sz w:val="20"/>
          <w:szCs w:val="22"/>
        </w:rPr>
        <w:id w:val="1385985104"/>
        <w:docPartObj>
          <w:docPartGallery w:val="Bibliographies"/>
          <w:docPartUnique/>
        </w:docPartObj>
      </w:sdtPr>
      <w:sdtContent>
        <w:p w:rsidR="00BB41BC" w:rsidRDefault="00BB41BC" w:rsidP="006E4597">
          <w:pPr>
            <w:pStyle w:val="Titre1"/>
            <w:jc w:val="both"/>
          </w:pPr>
        </w:p>
        <w:sdt>
          <w:sdtPr>
            <w:rPr>
              <w:rFonts w:eastAsiaTheme="minorHAnsi" w:cstheme="minorBidi"/>
              <w:b w:val="0"/>
              <w:color w:val="auto"/>
              <w:sz w:val="20"/>
              <w:szCs w:val="22"/>
            </w:rPr>
            <w:id w:val="1880045646"/>
            <w:docPartObj>
              <w:docPartGallery w:val="Bibliographies"/>
              <w:docPartUnique/>
            </w:docPartObj>
          </w:sdtPr>
          <w:sdtEndPr>
            <w:rPr>
              <w:lang w:val="fr-FR"/>
            </w:rPr>
          </w:sdtEndPr>
          <w:sdtContent>
            <w:p w:rsidR="006E4597" w:rsidRDefault="002E5DA3">
              <w:pPr>
                <w:pStyle w:val="Titre1"/>
              </w:pPr>
              <w:r>
                <w:t>Bibliography</w:t>
              </w:r>
            </w:p>
            <w:sdt>
              <w:sdtPr>
                <w:rPr>
                  <w:lang w:val="fr-FR"/>
                </w:rPr>
                <w:id w:val="111145805"/>
                <w:bibliography/>
              </w:sdtPr>
              <w:sdtContent>
                <w:p w:rsidR="0052034D" w:rsidRDefault="00935A97">
                  <w:pPr>
                    <w:rPr>
                      <w:rFonts w:asciiTheme="minorHAnsi" w:hAnsiTheme="minorHAnsi"/>
                      <w:noProof/>
                      <w:sz w:val="22"/>
                    </w:rPr>
                  </w:pPr>
                  <w:r>
                    <w:rPr>
                      <w:lang w:val="fr-FR"/>
                    </w:rPr>
                    <w:fldChar w:fldCharType="begin"/>
                  </w:r>
                  <w:r w:rsidR="006E4597">
                    <w:rPr>
                      <w:lang w:val="fr-FR"/>
                    </w:rPr>
                    <w:instrText xml:space="preserve"> BIBLIOGRAPHY </w:instrText>
                  </w:r>
                  <w:r>
                    <w:rPr>
                      <w:lang w:val="fr-FR"/>
                    </w:rPr>
                    <w:fldChar w:fldCharType="separate"/>
                  </w:r>
                </w:p>
                <w:tbl>
                  <w:tblPr>
                    <w:tblW w:w="5000" w:type="pct"/>
                    <w:tblCellSpacing w:w="15" w:type="dxa"/>
                    <w:tblCellMar>
                      <w:top w:w="15" w:type="dxa"/>
                      <w:left w:w="15" w:type="dxa"/>
                      <w:bottom w:w="15" w:type="dxa"/>
                      <w:right w:w="15" w:type="dxa"/>
                    </w:tblCellMar>
                    <w:tblLook w:val="04A0"/>
                  </w:tblPr>
                  <w:tblGrid>
                    <w:gridCol w:w="309"/>
                    <w:gridCol w:w="8807"/>
                  </w:tblGrid>
                  <w:tr w:rsidR="0052034D">
                    <w:trPr>
                      <w:tblCellSpacing w:w="15" w:type="dxa"/>
                    </w:trPr>
                    <w:tc>
                      <w:tcPr>
                        <w:tcW w:w="50" w:type="pct"/>
                        <w:hideMark/>
                      </w:tcPr>
                      <w:p w:rsidR="0052034D" w:rsidRDefault="0052034D">
                        <w:pPr>
                          <w:pStyle w:val="Bibliographie"/>
                          <w:rPr>
                            <w:rFonts w:eastAsiaTheme="minorEastAsia"/>
                            <w:noProof/>
                          </w:rPr>
                        </w:pPr>
                        <w:r>
                          <w:rPr>
                            <w:noProof/>
                          </w:rPr>
                          <w:t xml:space="preserve">[1] </w:t>
                        </w:r>
                      </w:p>
                    </w:tc>
                    <w:tc>
                      <w:tcPr>
                        <w:tcW w:w="0" w:type="auto"/>
                        <w:hideMark/>
                      </w:tcPr>
                      <w:p w:rsidR="0052034D" w:rsidRDefault="0052034D">
                        <w:pPr>
                          <w:pStyle w:val="Bibliographie"/>
                          <w:rPr>
                            <w:rFonts w:eastAsiaTheme="minorEastAsia"/>
                            <w:noProof/>
                          </w:rPr>
                        </w:pPr>
                        <w:r>
                          <w:rPr>
                            <w:noProof/>
                          </w:rPr>
                          <w:t xml:space="preserve">P. Jorion, Value at Risk: the new benchmark for managing financial risk, 3rd ed., McGraw-Hill Professional, 2006. </w:t>
                        </w:r>
                      </w:p>
                    </w:tc>
                  </w:tr>
                  <w:tr w:rsidR="0052034D">
                    <w:trPr>
                      <w:tblCellSpacing w:w="15" w:type="dxa"/>
                    </w:trPr>
                    <w:tc>
                      <w:tcPr>
                        <w:tcW w:w="50" w:type="pct"/>
                        <w:hideMark/>
                      </w:tcPr>
                      <w:p w:rsidR="0052034D" w:rsidRDefault="0052034D">
                        <w:pPr>
                          <w:pStyle w:val="Bibliographie"/>
                          <w:rPr>
                            <w:rFonts w:eastAsiaTheme="minorEastAsia"/>
                            <w:noProof/>
                          </w:rPr>
                        </w:pPr>
                        <w:r>
                          <w:rPr>
                            <w:noProof/>
                          </w:rPr>
                          <w:t xml:space="preserve">[2] </w:t>
                        </w:r>
                      </w:p>
                    </w:tc>
                    <w:tc>
                      <w:tcPr>
                        <w:tcW w:w="0" w:type="auto"/>
                        <w:hideMark/>
                      </w:tcPr>
                      <w:p w:rsidR="0052034D" w:rsidRDefault="0052034D">
                        <w:pPr>
                          <w:pStyle w:val="Bibliographie"/>
                          <w:rPr>
                            <w:rFonts w:eastAsiaTheme="minorEastAsia"/>
                            <w:noProof/>
                          </w:rPr>
                        </w:pPr>
                        <w:r>
                          <w:rPr>
                            <w:noProof/>
                          </w:rPr>
                          <w:t xml:space="preserve">CoinMarketCap, Available online at : https://coinmarketcap.com/ [Accessed : 5/11/2019]. </w:t>
                        </w:r>
                      </w:p>
                    </w:tc>
                  </w:tr>
                  <w:tr w:rsidR="0052034D">
                    <w:trPr>
                      <w:tblCellSpacing w:w="15" w:type="dxa"/>
                    </w:trPr>
                    <w:tc>
                      <w:tcPr>
                        <w:tcW w:w="50" w:type="pct"/>
                        <w:hideMark/>
                      </w:tcPr>
                      <w:p w:rsidR="0052034D" w:rsidRDefault="0052034D">
                        <w:pPr>
                          <w:pStyle w:val="Bibliographie"/>
                          <w:rPr>
                            <w:rFonts w:eastAsiaTheme="minorEastAsia"/>
                            <w:noProof/>
                            <w:lang w:val="en-US"/>
                          </w:rPr>
                        </w:pPr>
                        <w:r>
                          <w:rPr>
                            <w:noProof/>
                            <w:lang w:val="en-US"/>
                          </w:rPr>
                          <w:t xml:space="preserve">[3] </w:t>
                        </w:r>
                      </w:p>
                    </w:tc>
                    <w:tc>
                      <w:tcPr>
                        <w:tcW w:w="0" w:type="auto"/>
                        <w:hideMark/>
                      </w:tcPr>
                      <w:p w:rsidR="0052034D" w:rsidRDefault="0052034D">
                        <w:pPr>
                          <w:pStyle w:val="Bibliographie"/>
                          <w:rPr>
                            <w:rFonts w:eastAsiaTheme="minorEastAsia"/>
                            <w:noProof/>
                            <w:lang w:val="en-US"/>
                          </w:rPr>
                        </w:pPr>
                        <w:r>
                          <w:rPr>
                            <w:noProof/>
                            <w:lang w:val="en-US"/>
                          </w:rPr>
                          <w:t xml:space="preserve">J. W. Bernstein, The Four Pillars of Investing: Lessons for Building a Winning Portfolio, New York: McGraw-Hill, 2010. </w:t>
                        </w:r>
                      </w:p>
                    </w:tc>
                  </w:tr>
                  <w:tr w:rsidR="0052034D">
                    <w:trPr>
                      <w:tblCellSpacing w:w="15" w:type="dxa"/>
                    </w:trPr>
                    <w:tc>
                      <w:tcPr>
                        <w:tcW w:w="50" w:type="pct"/>
                        <w:hideMark/>
                      </w:tcPr>
                      <w:p w:rsidR="0052034D" w:rsidRDefault="0052034D">
                        <w:pPr>
                          <w:pStyle w:val="Bibliographie"/>
                          <w:rPr>
                            <w:rFonts w:eastAsiaTheme="minorEastAsia"/>
                            <w:noProof/>
                          </w:rPr>
                        </w:pPr>
                        <w:r>
                          <w:rPr>
                            <w:noProof/>
                          </w:rPr>
                          <w:t xml:space="preserve">[4] </w:t>
                        </w:r>
                      </w:p>
                    </w:tc>
                    <w:tc>
                      <w:tcPr>
                        <w:tcW w:w="0" w:type="auto"/>
                        <w:hideMark/>
                      </w:tcPr>
                      <w:p w:rsidR="0052034D" w:rsidRDefault="0052034D">
                        <w:pPr>
                          <w:pStyle w:val="Bibliographie"/>
                          <w:rPr>
                            <w:rFonts w:eastAsiaTheme="minorEastAsia"/>
                            <w:noProof/>
                          </w:rPr>
                        </w:pPr>
                        <w:r>
                          <w:rPr>
                            <w:noProof/>
                          </w:rPr>
                          <w:t xml:space="preserve">S. Ghosh and S. Resnick, “A discussion on mean excess plots,” </w:t>
                        </w:r>
                        <w:r>
                          <w:rPr>
                            <w:i/>
                            <w:iCs/>
                            <w:noProof/>
                          </w:rPr>
                          <w:t xml:space="preserve">Stochastic Processes and their Applications, </w:t>
                        </w:r>
                        <w:r>
                          <w:rPr>
                            <w:noProof/>
                          </w:rPr>
                          <w:t xml:space="preserve">vol. 120, p. 1492–1517, 2010. </w:t>
                        </w:r>
                      </w:p>
                    </w:tc>
                  </w:tr>
                  <w:tr w:rsidR="0052034D">
                    <w:trPr>
                      <w:tblCellSpacing w:w="15" w:type="dxa"/>
                    </w:trPr>
                    <w:tc>
                      <w:tcPr>
                        <w:tcW w:w="50" w:type="pct"/>
                        <w:hideMark/>
                      </w:tcPr>
                      <w:p w:rsidR="0052034D" w:rsidRDefault="0052034D">
                        <w:pPr>
                          <w:pStyle w:val="Bibliographie"/>
                          <w:rPr>
                            <w:rFonts w:eastAsiaTheme="minorEastAsia"/>
                            <w:noProof/>
                          </w:rPr>
                        </w:pPr>
                        <w:r>
                          <w:rPr>
                            <w:noProof/>
                          </w:rPr>
                          <w:t xml:space="preserve">[5] </w:t>
                        </w:r>
                      </w:p>
                    </w:tc>
                    <w:tc>
                      <w:tcPr>
                        <w:tcW w:w="0" w:type="auto"/>
                        <w:hideMark/>
                      </w:tcPr>
                      <w:p w:rsidR="0052034D" w:rsidRDefault="0052034D">
                        <w:pPr>
                          <w:pStyle w:val="Bibliographie"/>
                          <w:rPr>
                            <w:rFonts w:eastAsiaTheme="minorEastAsia"/>
                            <w:noProof/>
                          </w:rPr>
                        </w:pPr>
                        <w:r>
                          <w:rPr>
                            <w:noProof/>
                          </w:rPr>
                          <w:t xml:space="preserve">D. N. Politis and J. P. Romano, “Large sample confidence regions based on subsamples under minimal assumptions,” </w:t>
                        </w:r>
                        <w:r>
                          <w:rPr>
                            <w:i/>
                            <w:iCs/>
                            <w:noProof/>
                          </w:rPr>
                          <w:t xml:space="preserve">The Annals of Statistics, </w:t>
                        </w:r>
                        <w:r>
                          <w:rPr>
                            <w:noProof/>
                          </w:rPr>
                          <w:t xml:space="preserve">vol. 22, no. 4, pp. 2031-2050, 1994. </w:t>
                        </w:r>
                      </w:p>
                    </w:tc>
                  </w:tr>
                  <w:tr w:rsidR="0052034D">
                    <w:trPr>
                      <w:tblCellSpacing w:w="15" w:type="dxa"/>
                    </w:trPr>
                    <w:tc>
                      <w:tcPr>
                        <w:tcW w:w="50" w:type="pct"/>
                        <w:hideMark/>
                      </w:tcPr>
                      <w:p w:rsidR="0052034D" w:rsidRDefault="0052034D">
                        <w:pPr>
                          <w:pStyle w:val="Bibliographie"/>
                          <w:rPr>
                            <w:rFonts w:eastAsiaTheme="minorEastAsia"/>
                            <w:noProof/>
                          </w:rPr>
                        </w:pPr>
                        <w:r>
                          <w:rPr>
                            <w:noProof/>
                          </w:rPr>
                          <w:t xml:space="preserve">[6] </w:t>
                        </w:r>
                      </w:p>
                    </w:tc>
                    <w:tc>
                      <w:tcPr>
                        <w:tcW w:w="0" w:type="auto"/>
                        <w:hideMark/>
                      </w:tcPr>
                      <w:p w:rsidR="0052034D" w:rsidRDefault="0052034D">
                        <w:pPr>
                          <w:pStyle w:val="Bibliographie"/>
                          <w:rPr>
                            <w:rFonts w:eastAsiaTheme="minorEastAsia"/>
                            <w:noProof/>
                          </w:rPr>
                        </w:pPr>
                        <w:r>
                          <w:rPr>
                            <w:noProof/>
                          </w:rPr>
                          <w:t>Basel Committee on Banking Supervision, “Minimum capital requirements for market risk,” Bank for International Settlements, Basel, 2016.</w:t>
                        </w:r>
                      </w:p>
                    </w:tc>
                  </w:tr>
                </w:tbl>
                <w:p w:rsidR="0052034D" w:rsidRDefault="0052034D">
                  <w:pPr>
                    <w:rPr>
                      <w:rFonts w:eastAsia="Times New Roman"/>
                      <w:noProof/>
                    </w:rPr>
                  </w:pPr>
                </w:p>
                <w:p w:rsidR="006E4597" w:rsidRDefault="00935A97">
                  <w:pPr>
                    <w:rPr>
                      <w:lang w:val="fr-FR"/>
                    </w:rPr>
                  </w:pPr>
                  <w:r>
                    <w:rPr>
                      <w:lang w:val="fr-FR"/>
                    </w:rPr>
                    <w:fldChar w:fldCharType="end"/>
                  </w:r>
                </w:p>
              </w:sdtContent>
            </w:sdt>
          </w:sdtContent>
        </w:sdt>
        <w:p w:rsidR="00BB41BC" w:rsidRDefault="00935A97" w:rsidP="00BB41BC"/>
      </w:sdtContent>
    </w:sdt>
    <w:sectPr w:rsidR="00BB41BC" w:rsidSect="00833232">
      <w:footerReference w:type="default" r:id="rId15"/>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DA8358" w15:done="0"/>
  <w15:commentEx w15:paraId="66EDB2A3" w15:done="0"/>
  <w15:commentEx w15:paraId="47EB182B" w15:done="0"/>
  <w15:commentEx w15:paraId="210AF440" w15:done="0"/>
  <w15:commentEx w15:paraId="3C4911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DA8358" w16cid:durableId="218BBFB5"/>
  <w16cid:commentId w16cid:paraId="66EDB2A3" w16cid:durableId="218BC410"/>
  <w16cid:commentId w16cid:paraId="47EB182B" w16cid:durableId="218BC522"/>
  <w16cid:commentId w16cid:paraId="210AF440" w16cid:durableId="218BBD29"/>
  <w16cid:commentId w16cid:paraId="3C4911CB" w16cid:durableId="218BCCB4"/>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5504" w:rsidRDefault="00B25504" w:rsidP="00FA5131">
      <w:pPr>
        <w:spacing w:after="0" w:line="240" w:lineRule="auto"/>
      </w:pPr>
      <w:r>
        <w:separator/>
      </w:r>
    </w:p>
  </w:endnote>
  <w:endnote w:type="continuationSeparator" w:id="0">
    <w:p w:rsidR="00B25504" w:rsidRDefault="00B25504" w:rsidP="00FA51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80045566"/>
      <w:docPartObj>
        <w:docPartGallery w:val="Page Numbers (Bottom of Page)"/>
        <w:docPartUnique/>
      </w:docPartObj>
    </w:sdtPr>
    <w:sdtContent>
      <w:p w:rsidR="003759D4" w:rsidRDefault="00935A97">
        <w:pPr>
          <w:pStyle w:val="Pieddepage"/>
          <w:jc w:val="center"/>
        </w:pPr>
        <w:fldSimple w:instr=" PAGE   \* MERGEFORMAT ">
          <w:r w:rsidR="004808B9">
            <w:rPr>
              <w:noProof/>
            </w:rPr>
            <w:t>1</w:t>
          </w:r>
        </w:fldSimple>
      </w:p>
    </w:sdtContent>
  </w:sdt>
  <w:p w:rsidR="00F32735" w:rsidRDefault="00F32735">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5504" w:rsidRDefault="00B25504" w:rsidP="00FA5131">
      <w:pPr>
        <w:spacing w:after="0" w:line="240" w:lineRule="auto"/>
      </w:pPr>
      <w:r>
        <w:separator/>
      </w:r>
    </w:p>
  </w:footnote>
  <w:footnote w:type="continuationSeparator" w:id="0">
    <w:p w:rsidR="00B25504" w:rsidRDefault="00B25504" w:rsidP="00FA5131">
      <w:pPr>
        <w:spacing w:after="0" w:line="240" w:lineRule="auto"/>
      </w:pPr>
      <w:r>
        <w:continuationSeparator/>
      </w:r>
    </w:p>
  </w:footnote>
  <w:footnote w:id="1">
    <w:p w:rsidR="00F32735" w:rsidRPr="00E25581" w:rsidRDefault="00F32735" w:rsidP="005D4BF4">
      <w:pPr>
        <w:pStyle w:val="Notedebasdepage"/>
        <w:rPr>
          <w:lang w:val="en-US"/>
        </w:rPr>
      </w:pPr>
      <w:r>
        <w:rPr>
          <w:rStyle w:val="Appelnotedebasdep"/>
        </w:rPr>
        <w:footnoteRef/>
      </w:r>
      <w:r>
        <w:t xml:space="preserve"> For a VaR at 5%, t</w:t>
      </w:r>
      <w:r w:rsidRPr="00E25581">
        <w:rPr>
          <w:lang w:val="en-US"/>
        </w:rPr>
        <w:t>he relative percentage difference is c</w:t>
      </w:r>
      <w:r>
        <w:rPr>
          <w:lang w:val="en-US"/>
        </w:rPr>
        <w:t xml:space="preserve">alculates as </w:t>
      </w:r>
      <m:oMath>
        <m:d>
          <m:dPr>
            <m:begChr m:val="{"/>
            <m:endChr m:val="}"/>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VaR</m:t>
                    </m:r>
                  </m:e>
                  <m:sub>
                    <m:r>
                      <w:rPr>
                        <w:rFonts w:ascii="Cambria Math" w:hAnsi="Cambria Math"/>
                        <w:lang w:val="en-US"/>
                      </w:rPr>
                      <m:t>Gauss</m:t>
                    </m:r>
                  </m:sub>
                  <m:sup>
                    <m:r>
                      <w:rPr>
                        <w:rFonts w:ascii="Cambria Math" w:hAnsi="Cambria Math"/>
                        <w:lang w:val="en-US"/>
                      </w:rPr>
                      <m:t>5%</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VaR</m:t>
                    </m:r>
                  </m:e>
                  <m:sub>
                    <m:r>
                      <w:rPr>
                        <w:rFonts w:ascii="Cambria Math" w:hAnsi="Cambria Math"/>
                        <w:lang w:val="en-US"/>
                      </w:rPr>
                      <m:t>method 2</m:t>
                    </m:r>
                  </m:sub>
                  <m:sup>
                    <m:r>
                      <w:rPr>
                        <w:rFonts w:ascii="Cambria Math" w:hAnsi="Cambria Math"/>
                        <w:lang w:val="en-US"/>
                      </w:rPr>
                      <m:t>5%</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VaR</m:t>
                    </m:r>
                  </m:e>
                  <m:sub>
                    <m:r>
                      <w:rPr>
                        <w:rFonts w:ascii="Cambria Math" w:hAnsi="Cambria Math"/>
                        <w:lang w:val="en-US"/>
                      </w:rPr>
                      <m:t>Gauss</m:t>
                    </m:r>
                  </m:sub>
                  <m:sup>
                    <m:r>
                      <w:rPr>
                        <w:rFonts w:ascii="Cambria Math" w:hAnsi="Cambria Math"/>
                        <w:lang w:val="en-US"/>
                      </w:rPr>
                      <m:t>5%</m:t>
                    </m:r>
                  </m:sup>
                </m:sSubSup>
              </m:e>
            </m:d>
            <m:r>
              <w:rPr>
                <w:rFonts w:ascii="Cambria Math" w:hAnsi="Cambria Math"/>
                <w:lang w:val="en-US"/>
              </w:rPr>
              <m:t>×100</m:t>
            </m:r>
          </m:e>
        </m:d>
      </m:oMath>
      <w:r>
        <w:rPr>
          <w:rFonts w:eastAsiaTheme="minorEastAsia"/>
          <w:lang w:val="en-US"/>
        </w:rPr>
        <w:t>, where “method 2” stands for either historical data method, kernel method or GPD. Similar relative percentage differences can be calculated for ES and other confidence levels.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6927A6"/>
    <w:multiLevelType w:val="hybridMultilevel"/>
    <w:tmpl w:val="E660A8B4"/>
    <w:lvl w:ilvl="0" w:tplc="6576C430">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AAD59E9"/>
    <w:multiLevelType w:val="multilevel"/>
    <w:tmpl w:val="73C006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63C7278E"/>
    <w:multiLevelType w:val="hybridMultilevel"/>
    <w:tmpl w:val="FDF2EC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866533C"/>
    <w:multiLevelType w:val="hybridMultilevel"/>
    <w:tmpl w:val="1FEC1188"/>
    <w:lvl w:ilvl="0" w:tplc="69C6501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ictor mitchell">
    <w15:presenceInfo w15:providerId="Windows Live" w15:userId="346d15abb909ef3a"/>
  </w15:person>
  <w15:person w15:author="Aline Ferreira Passos">
    <w15:presenceInfo w15:providerId="AD" w15:userId="S-1-5-21-2549886845-264585227-397852783-383190"/>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activeWritingStyle w:appName="MSWord" w:lang="en-GB" w:vendorID="64" w:dllVersion="6" w:nlCheck="1" w:checkStyle="1"/>
  <w:activeWritingStyle w:appName="MSWord" w:lang="en-GB" w:vendorID="64" w:dllVersion="0" w:nlCheck="1" w:checkStyle="0"/>
  <w:activeWritingStyle w:appName="MSWord" w:lang="en-US" w:vendorID="64" w:dllVersion="0" w:nlCheck="1" w:checkStyle="0"/>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proofState w:spelling="clean" w:grammar="clean"/>
  <w:defaultTabStop w:val="720"/>
  <w:hyphenationZone w:val="425"/>
  <w:characterSpacingControl w:val="doNotCompress"/>
  <w:footnotePr>
    <w:footnote w:id="-1"/>
    <w:footnote w:id="0"/>
  </w:footnotePr>
  <w:endnotePr>
    <w:endnote w:id="-1"/>
    <w:endnote w:id="0"/>
  </w:endnotePr>
  <w:compat/>
  <w:rsids>
    <w:rsidRoot w:val="0047604E"/>
    <w:rsid w:val="00011BB5"/>
    <w:rsid w:val="00011EA3"/>
    <w:rsid w:val="000172A6"/>
    <w:rsid w:val="00026129"/>
    <w:rsid w:val="000324FB"/>
    <w:rsid w:val="00032A9D"/>
    <w:rsid w:val="00035DC0"/>
    <w:rsid w:val="00036422"/>
    <w:rsid w:val="000371E9"/>
    <w:rsid w:val="00044CC5"/>
    <w:rsid w:val="000457E3"/>
    <w:rsid w:val="00060C2C"/>
    <w:rsid w:val="00062266"/>
    <w:rsid w:val="000630E1"/>
    <w:rsid w:val="00064735"/>
    <w:rsid w:val="00085CC4"/>
    <w:rsid w:val="00085E5A"/>
    <w:rsid w:val="000874F0"/>
    <w:rsid w:val="0009374B"/>
    <w:rsid w:val="000A13B8"/>
    <w:rsid w:val="000A6D9D"/>
    <w:rsid w:val="000A7DA4"/>
    <w:rsid w:val="000B0719"/>
    <w:rsid w:val="000B4B3D"/>
    <w:rsid w:val="000C25CF"/>
    <w:rsid w:val="000C54C2"/>
    <w:rsid w:val="000D4127"/>
    <w:rsid w:val="000E2280"/>
    <w:rsid w:val="000E29D0"/>
    <w:rsid w:val="000F0929"/>
    <w:rsid w:val="000F2A08"/>
    <w:rsid w:val="000F51BB"/>
    <w:rsid w:val="0010480C"/>
    <w:rsid w:val="00114CFB"/>
    <w:rsid w:val="00123E78"/>
    <w:rsid w:val="00125220"/>
    <w:rsid w:val="001272D7"/>
    <w:rsid w:val="00136220"/>
    <w:rsid w:val="00160368"/>
    <w:rsid w:val="00162DA8"/>
    <w:rsid w:val="00163F0A"/>
    <w:rsid w:val="00184443"/>
    <w:rsid w:val="00186FA1"/>
    <w:rsid w:val="001923AE"/>
    <w:rsid w:val="001A02CC"/>
    <w:rsid w:val="001A179B"/>
    <w:rsid w:val="001A2778"/>
    <w:rsid w:val="001A2E48"/>
    <w:rsid w:val="001B031B"/>
    <w:rsid w:val="001B3CB7"/>
    <w:rsid w:val="001B3EE3"/>
    <w:rsid w:val="001C0226"/>
    <w:rsid w:val="001D2679"/>
    <w:rsid w:val="001D726B"/>
    <w:rsid w:val="001F64F2"/>
    <w:rsid w:val="0020658C"/>
    <w:rsid w:val="002070FD"/>
    <w:rsid w:val="00211C73"/>
    <w:rsid w:val="00214D39"/>
    <w:rsid w:val="00216A11"/>
    <w:rsid w:val="00220A04"/>
    <w:rsid w:val="00220F26"/>
    <w:rsid w:val="00226CDE"/>
    <w:rsid w:val="00236B8E"/>
    <w:rsid w:val="002529AC"/>
    <w:rsid w:val="00254F4D"/>
    <w:rsid w:val="0026798F"/>
    <w:rsid w:val="00267D61"/>
    <w:rsid w:val="00282E77"/>
    <w:rsid w:val="002B09B3"/>
    <w:rsid w:val="002B61D2"/>
    <w:rsid w:val="002C03D6"/>
    <w:rsid w:val="002C2205"/>
    <w:rsid w:val="002C63DA"/>
    <w:rsid w:val="002D3734"/>
    <w:rsid w:val="002D4800"/>
    <w:rsid w:val="002D6D8D"/>
    <w:rsid w:val="002D71DE"/>
    <w:rsid w:val="002E510F"/>
    <w:rsid w:val="002E5DA3"/>
    <w:rsid w:val="002E67ED"/>
    <w:rsid w:val="002E7ABF"/>
    <w:rsid w:val="002F07FA"/>
    <w:rsid w:val="0030474A"/>
    <w:rsid w:val="003074EF"/>
    <w:rsid w:val="0031242E"/>
    <w:rsid w:val="003210DA"/>
    <w:rsid w:val="0032252F"/>
    <w:rsid w:val="00322DDA"/>
    <w:rsid w:val="00333F42"/>
    <w:rsid w:val="00335A2E"/>
    <w:rsid w:val="00340885"/>
    <w:rsid w:val="003508A2"/>
    <w:rsid w:val="0037089D"/>
    <w:rsid w:val="00372977"/>
    <w:rsid w:val="003747C4"/>
    <w:rsid w:val="003759D4"/>
    <w:rsid w:val="00376674"/>
    <w:rsid w:val="0037688F"/>
    <w:rsid w:val="003805BB"/>
    <w:rsid w:val="003820CB"/>
    <w:rsid w:val="00386EBD"/>
    <w:rsid w:val="0039016E"/>
    <w:rsid w:val="00391F08"/>
    <w:rsid w:val="003A1744"/>
    <w:rsid w:val="003A2B62"/>
    <w:rsid w:val="003A5673"/>
    <w:rsid w:val="003B696C"/>
    <w:rsid w:val="003C68DB"/>
    <w:rsid w:val="003D2175"/>
    <w:rsid w:val="003E1ACA"/>
    <w:rsid w:val="003E52AE"/>
    <w:rsid w:val="003F494B"/>
    <w:rsid w:val="0040087D"/>
    <w:rsid w:val="0040112E"/>
    <w:rsid w:val="004061F3"/>
    <w:rsid w:val="004103B8"/>
    <w:rsid w:val="0041091F"/>
    <w:rsid w:val="00413AFA"/>
    <w:rsid w:val="00427D92"/>
    <w:rsid w:val="00437996"/>
    <w:rsid w:val="004421DE"/>
    <w:rsid w:val="004432C7"/>
    <w:rsid w:val="0045573F"/>
    <w:rsid w:val="00455886"/>
    <w:rsid w:val="00461597"/>
    <w:rsid w:val="0046288F"/>
    <w:rsid w:val="00464524"/>
    <w:rsid w:val="0047604E"/>
    <w:rsid w:val="004808B9"/>
    <w:rsid w:val="00491337"/>
    <w:rsid w:val="004929DB"/>
    <w:rsid w:val="00497A00"/>
    <w:rsid w:val="00497C7B"/>
    <w:rsid w:val="004B0521"/>
    <w:rsid w:val="004B0949"/>
    <w:rsid w:val="004C20BB"/>
    <w:rsid w:val="004D5E2A"/>
    <w:rsid w:val="004E1C8E"/>
    <w:rsid w:val="004F0997"/>
    <w:rsid w:val="004F3056"/>
    <w:rsid w:val="005000E5"/>
    <w:rsid w:val="00512BFD"/>
    <w:rsid w:val="00514FB5"/>
    <w:rsid w:val="0052034D"/>
    <w:rsid w:val="00525775"/>
    <w:rsid w:val="005311E6"/>
    <w:rsid w:val="00531E59"/>
    <w:rsid w:val="00535E46"/>
    <w:rsid w:val="005371D6"/>
    <w:rsid w:val="0054579E"/>
    <w:rsid w:val="005476E3"/>
    <w:rsid w:val="00553F06"/>
    <w:rsid w:val="00576791"/>
    <w:rsid w:val="00582C69"/>
    <w:rsid w:val="00593C4B"/>
    <w:rsid w:val="00596647"/>
    <w:rsid w:val="005A4B09"/>
    <w:rsid w:val="005B7CE7"/>
    <w:rsid w:val="005D105B"/>
    <w:rsid w:val="005D18EE"/>
    <w:rsid w:val="005D4BF4"/>
    <w:rsid w:val="005E554B"/>
    <w:rsid w:val="005F2F89"/>
    <w:rsid w:val="005F3A42"/>
    <w:rsid w:val="005F75E3"/>
    <w:rsid w:val="00612ABE"/>
    <w:rsid w:val="00617273"/>
    <w:rsid w:val="00633C9F"/>
    <w:rsid w:val="0064162E"/>
    <w:rsid w:val="0064397F"/>
    <w:rsid w:val="006512F6"/>
    <w:rsid w:val="006633E0"/>
    <w:rsid w:val="00676EC1"/>
    <w:rsid w:val="00681790"/>
    <w:rsid w:val="00697B5F"/>
    <w:rsid w:val="006A0E71"/>
    <w:rsid w:val="006B2272"/>
    <w:rsid w:val="006B5AC5"/>
    <w:rsid w:val="006C632D"/>
    <w:rsid w:val="006C6A98"/>
    <w:rsid w:val="006D55A2"/>
    <w:rsid w:val="006D6657"/>
    <w:rsid w:val="006E4597"/>
    <w:rsid w:val="006E6FB6"/>
    <w:rsid w:val="006F09B0"/>
    <w:rsid w:val="006F58D2"/>
    <w:rsid w:val="006F6AA6"/>
    <w:rsid w:val="006F7571"/>
    <w:rsid w:val="00701E7E"/>
    <w:rsid w:val="00710A1E"/>
    <w:rsid w:val="00732C74"/>
    <w:rsid w:val="00756290"/>
    <w:rsid w:val="007621F8"/>
    <w:rsid w:val="00764482"/>
    <w:rsid w:val="0077391F"/>
    <w:rsid w:val="00777173"/>
    <w:rsid w:val="007A4F61"/>
    <w:rsid w:val="007B0562"/>
    <w:rsid w:val="007C30ED"/>
    <w:rsid w:val="007C3413"/>
    <w:rsid w:val="007C3F2A"/>
    <w:rsid w:val="007C69D7"/>
    <w:rsid w:val="007D6791"/>
    <w:rsid w:val="007D6840"/>
    <w:rsid w:val="007E69EF"/>
    <w:rsid w:val="008012E4"/>
    <w:rsid w:val="00802BC5"/>
    <w:rsid w:val="00805CF4"/>
    <w:rsid w:val="00827130"/>
    <w:rsid w:val="00831A1F"/>
    <w:rsid w:val="00833232"/>
    <w:rsid w:val="00842E69"/>
    <w:rsid w:val="008436B5"/>
    <w:rsid w:val="00847700"/>
    <w:rsid w:val="008650CF"/>
    <w:rsid w:val="00874671"/>
    <w:rsid w:val="00881E32"/>
    <w:rsid w:val="00884013"/>
    <w:rsid w:val="00891544"/>
    <w:rsid w:val="00897D43"/>
    <w:rsid w:val="008A75A7"/>
    <w:rsid w:val="008B341D"/>
    <w:rsid w:val="008C633B"/>
    <w:rsid w:val="008D2593"/>
    <w:rsid w:val="008E0ABB"/>
    <w:rsid w:val="008F40EF"/>
    <w:rsid w:val="00915037"/>
    <w:rsid w:val="00923949"/>
    <w:rsid w:val="00930BA0"/>
    <w:rsid w:val="00935A97"/>
    <w:rsid w:val="00941696"/>
    <w:rsid w:val="00941A9A"/>
    <w:rsid w:val="009432C3"/>
    <w:rsid w:val="00947BBD"/>
    <w:rsid w:val="00956B34"/>
    <w:rsid w:val="00956E7C"/>
    <w:rsid w:val="00963E34"/>
    <w:rsid w:val="009640E0"/>
    <w:rsid w:val="009646CA"/>
    <w:rsid w:val="00973321"/>
    <w:rsid w:val="00973701"/>
    <w:rsid w:val="00984A5A"/>
    <w:rsid w:val="00985C5F"/>
    <w:rsid w:val="00985E95"/>
    <w:rsid w:val="00993CC7"/>
    <w:rsid w:val="009A0370"/>
    <w:rsid w:val="009A1AD3"/>
    <w:rsid w:val="009A1D98"/>
    <w:rsid w:val="009A3644"/>
    <w:rsid w:val="009A3B96"/>
    <w:rsid w:val="009A68B2"/>
    <w:rsid w:val="009C0C74"/>
    <w:rsid w:val="009C3CED"/>
    <w:rsid w:val="009D2F4D"/>
    <w:rsid w:val="009E0C03"/>
    <w:rsid w:val="009E2895"/>
    <w:rsid w:val="009E3A2B"/>
    <w:rsid w:val="009E72C4"/>
    <w:rsid w:val="009E73AD"/>
    <w:rsid w:val="009F58EC"/>
    <w:rsid w:val="00A039EA"/>
    <w:rsid w:val="00A07409"/>
    <w:rsid w:val="00A1413E"/>
    <w:rsid w:val="00A20C65"/>
    <w:rsid w:val="00A33D85"/>
    <w:rsid w:val="00A35EB6"/>
    <w:rsid w:val="00A41065"/>
    <w:rsid w:val="00A41360"/>
    <w:rsid w:val="00A41CE5"/>
    <w:rsid w:val="00A43B11"/>
    <w:rsid w:val="00A44607"/>
    <w:rsid w:val="00A464E2"/>
    <w:rsid w:val="00A52418"/>
    <w:rsid w:val="00A539BA"/>
    <w:rsid w:val="00A7160C"/>
    <w:rsid w:val="00A8371A"/>
    <w:rsid w:val="00A86DDB"/>
    <w:rsid w:val="00A92A3D"/>
    <w:rsid w:val="00AA2B04"/>
    <w:rsid w:val="00AA4F9C"/>
    <w:rsid w:val="00AA53D3"/>
    <w:rsid w:val="00AA79CE"/>
    <w:rsid w:val="00AB01FE"/>
    <w:rsid w:val="00AB39D7"/>
    <w:rsid w:val="00AB4F7C"/>
    <w:rsid w:val="00AC0B24"/>
    <w:rsid w:val="00AC7FF5"/>
    <w:rsid w:val="00AD1281"/>
    <w:rsid w:val="00AD7884"/>
    <w:rsid w:val="00AF5B79"/>
    <w:rsid w:val="00AF77AA"/>
    <w:rsid w:val="00B1702B"/>
    <w:rsid w:val="00B22B4A"/>
    <w:rsid w:val="00B2369A"/>
    <w:rsid w:val="00B25504"/>
    <w:rsid w:val="00B4107E"/>
    <w:rsid w:val="00B41588"/>
    <w:rsid w:val="00B51AEE"/>
    <w:rsid w:val="00B54FF4"/>
    <w:rsid w:val="00B60A00"/>
    <w:rsid w:val="00B70749"/>
    <w:rsid w:val="00B72929"/>
    <w:rsid w:val="00B86C6A"/>
    <w:rsid w:val="00BA4FA9"/>
    <w:rsid w:val="00BA6FEE"/>
    <w:rsid w:val="00BB41BC"/>
    <w:rsid w:val="00BB41F5"/>
    <w:rsid w:val="00BB47AA"/>
    <w:rsid w:val="00BB7A9E"/>
    <w:rsid w:val="00BC3311"/>
    <w:rsid w:val="00BD1583"/>
    <w:rsid w:val="00BE48FF"/>
    <w:rsid w:val="00BF155B"/>
    <w:rsid w:val="00BF2DD3"/>
    <w:rsid w:val="00C14BFF"/>
    <w:rsid w:val="00C15F41"/>
    <w:rsid w:val="00C23317"/>
    <w:rsid w:val="00C355AF"/>
    <w:rsid w:val="00C40F1C"/>
    <w:rsid w:val="00C4603C"/>
    <w:rsid w:val="00C50BE9"/>
    <w:rsid w:val="00C56DCE"/>
    <w:rsid w:val="00C61BD7"/>
    <w:rsid w:val="00C62926"/>
    <w:rsid w:val="00C62D55"/>
    <w:rsid w:val="00C71BED"/>
    <w:rsid w:val="00C72278"/>
    <w:rsid w:val="00C72A9B"/>
    <w:rsid w:val="00C7741E"/>
    <w:rsid w:val="00C970D0"/>
    <w:rsid w:val="00CB04A9"/>
    <w:rsid w:val="00CC0721"/>
    <w:rsid w:val="00CC4E0D"/>
    <w:rsid w:val="00CC6662"/>
    <w:rsid w:val="00CD702F"/>
    <w:rsid w:val="00CD745E"/>
    <w:rsid w:val="00CD7BEE"/>
    <w:rsid w:val="00CF120E"/>
    <w:rsid w:val="00CF18C6"/>
    <w:rsid w:val="00CF1929"/>
    <w:rsid w:val="00CF2C86"/>
    <w:rsid w:val="00D00451"/>
    <w:rsid w:val="00D00591"/>
    <w:rsid w:val="00D03FA6"/>
    <w:rsid w:val="00D049CA"/>
    <w:rsid w:val="00D140FD"/>
    <w:rsid w:val="00D145CC"/>
    <w:rsid w:val="00D172A4"/>
    <w:rsid w:val="00D219C6"/>
    <w:rsid w:val="00D44CFC"/>
    <w:rsid w:val="00D65E7A"/>
    <w:rsid w:val="00D663B8"/>
    <w:rsid w:val="00D67714"/>
    <w:rsid w:val="00D872C9"/>
    <w:rsid w:val="00D92A65"/>
    <w:rsid w:val="00D9600C"/>
    <w:rsid w:val="00DA5B01"/>
    <w:rsid w:val="00DC5436"/>
    <w:rsid w:val="00DE4D59"/>
    <w:rsid w:val="00DE77B9"/>
    <w:rsid w:val="00DF6878"/>
    <w:rsid w:val="00E01F20"/>
    <w:rsid w:val="00E152F9"/>
    <w:rsid w:val="00E17148"/>
    <w:rsid w:val="00E205CE"/>
    <w:rsid w:val="00E25581"/>
    <w:rsid w:val="00E27547"/>
    <w:rsid w:val="00E323BB"/>
    <w:rsid w:val="00E41E92"/>
    <w:rsid w:val="00E4252C"/>
    <w:rsid w:val="00E44CEA"/>
    <w:rsid w:val="00E44DBA"/>
    <w:rsid w:val="00E5234A"/>
    <w:rsid w:val="00E546CF"/>
    <w:rsid w:val="00E77719"/>
    <w:rsid w:val="00E8148B"/>
    <w:rsid w:val="00E87903"/>
    <w:rsid w:val="00E90C2F"/>
    <w:rsid w:val="00EA1FC6"/>
    <w:rsid w:val="00EA4479"/>
    <w:rsid w:val="00EC00E7"/>
    <w:rsid w:val="00EC48FA"/>
    <w:rsid w:val="00ED08DE"/>
    <w:rsid w:val="00ED21B0"/>
    <w:rsid w:val="00ED5DFD"/>
    <w:rsid w:val="00ED6C39"/>
    <w:rsid w:val="00EE23DF"/>
    <w:rsid w:val="00EE2A5E"/>
    <w:rsid w:val="00EF0496"/>
    <w:rsid w:val="00EF6195"/>
    <w:rsid w:val="00F02A45"/>
    <w:rsid w:val="00F102D3"/>
    <w:rsid w:val="00F13FE4"/>
    <w:rsid w:val="00F32735"/>
    <w:rsid w:val="00F32963"/>
    <w:rsid w:val="00F329F4"/>
    <w:rsid w:val="00F3684B"/>
    <w:rsid w:val="00F45A94"/>
    <w:rsid w:val="00F47929"/>
    <w:rsid w:val="00F47A55"/>
    <w:rsid w:val="00F47F62"/>
    <w:rsid w:val="00F50A4D"/>
    <w:rsid w:val="00F62817"/>
    <w:rsid w:val="00F74994"/>
    <w:rsid w:val="00F91226"/>
    <w:rsid w:val="00FA5131"/>
    <w:rsid w:val="00FA7F5A"/>
    <w:rsid w:val="00FB4A08"/>
    <w:rsid w:val="00FB4ABB"/>
    <w:rsid w:val="00FB5EF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31B"/>
    <w:pPr>
      <w:jc w:val="both"/>
    </w:pPr>
    <w:rPr>
      <w:rFonts w:ascii="Times New Roman" w:hAnsi="Times New Roman"/>
      <w:sz w:val="20"/>
    </w:rPr>
  </w:style>
  <w:style w:type="paragraph" w:styleId="Titre1">
    <w:name w:val="heading 1"/>
    <w:basedOn w:val="Normal"/>
    <w:next w:val="Normal"/>
    <w:link w:val="Titre1Car"/>
    <w:uiPriority w:val="9"/>
    <w:qFormat/>
    <w:rsid w:val="001B031B"/>
    <w:pPr>
      <w:keepNext/>
      <w:keepLines/>
      <w:spacing w:before="240" w:after="0"/>
      <w:jc w:val="center"/>
      <w:outlineLvl w:val="0"/>
    </w:pPr>
    <w:rPr>
      <w:rFonts w:eastAsiaTheme="majorEastAsia" w:cstheme="majorBidi"/>
      <w:b/>
      <w:color w:val="000000" w:themeColor="text1"/>
      <w:sz w:val="24"/>
      <w:szCs w:val="32"/>
    </w:rPr>
  </w:style>
  <w:style w:type="paragraph" w:styleId="Titre2">
    <w:name w:val="heading 2"/>
    <w:basedOn w:val="Normal"/>
    <w:next w:val="Normal"/>
    <w:link w:val="Titre2Car"/>
    <w:uiPriority w:val="9"/>
    <w:unhideWhenUsed/>
    <w:qFormat/>
    <w:rsid w:val="001B031B"/>
    <w:pPr>
      <w:keepNext/>
      <w:keepLines/>
      <w:spacing w:before="40" w:after="0"/>
      <w:jc w:val="left"/>
      <w:outlineLvl w:val="1"/>
    </w:pPr>
    <w:rPr>
      <w:rFonts w:eastAsiaTheme="majorEastAsia" w:cstheme="majorBidi"/>
      <w:b/>
      <w:szCs w:val="26"/>
    </w:rPr>
  </w:style>
  <w:style w:type="paragraph" w:styleId="Titre3">
    <w:name w:val="heading 3"/>
    <w:basedOn w:val="Normal"/>
    <w:next w:val="Normal"/>
    <w:link w:val="Titre3Car"/>
    <w:uiPriority w:val="9"/>
    <w:unhideWhenUsed/>
    <w:qFormat/>
    <w:rsid w:val="00CC0721"/>
    <w:pPr>
      <w:keepNext/>
      <w:keepLines/>
      <w:spacing w:before="40" w:after="0"/>
      <w:outlineLvl w:val="2"/>
    </w:pPr>
    <w:rPr>
      <w:rFonts w:eastAsiaTheme="majorEastAsia" w:cstheme="majorBidi"/>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4760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BB41BC"/>
    <w:pPr>
      <w:ind w:left="720"/>
      <w:contextualSpacing/>
    </w:pPr>
  </w:style>
  <w:style w:type="character" w:customStyle="1" w:styleId="Titre1Car">
    <w:name w:val="Titre 1 Car"/>
    <w:basedOn w:val="Policepardfaut"/>
    <w:link w:val="Titre1"/>
    <w:uiPriority w:val="9"/>
    <w:rsid w:val="001B031B"/>
    <w:rPr>
      <w:rFonts w:ascii="Times New Roman" w:eastAsiaTheme="majorEastAsia" w:hAnsi="Times New Roman" w:cstheme="majorBidi"/>
      <w:b/>
      <w:color w:val="000000" w:themeColor="text1"/>
      <w:sz w:val="24"/>
      <w:szCs w:val="32"/>
    </w:rPr>
  </w:style>
  <w:style w:type="character" w:customStyle="1" w:styleId="Titre2Car">
    <w:name w:val="Titre 2 Car"/>
    <w:basedOn w:val="Policepardfaut"/>
    <w:link w:val="Titre2"/>
    <w:uiPriority w:val="9"/>
    <w:rsid w:val="001B031B"/>
    <w:rPr>
      <w:rFonts w:ascii="Times New Roman" w:eastAsiaTheme="majorEastAsia" w:hAnsi="Times New Roman" w:cstheme="majorBidi"/>
      <w:b/>
      <w:szCs w:val="26"/>
    </w:rPr>
  </w:style>
  <w:style w:type="paragraph" w:styleId="Notedefin">
    <w:name w:val="endnote text"/>
    <w:basedOn w:val="Normal"/>
    <w:link w:val="NotedefinCar"/>
    <w:uiPriority w:val="99"/>
    <w:semiHidden/>
    <w:unhideWhenUsed/>
    <w:rsid w:val="00FA5131"/>
    <w:pPr>
      <w:spacing w:after="0" w:line="240" w:lineRule="auto"/>
    </w:pPr>
    <w:rPr>
      <w:szCs w:val="20"/>
    </w:rPr>
  </w:style>
  <w:style w:type="character" w:customStyle="1" w:styleId="NotedefinCar">
    <w:name w:val="Note de fin Car"/>
    <w:basedOn w:val="Policepardfaut"/>
    <w:link w:val="Notedefin"/>
    <w:uiPriority w:val="99"/>
    <w:semiHidden/>
    <w:rsid w:val="00FA5131"/>
    <w:rPr>
      <w:rFonts w:ascii="Times New Roman" w:hAnsi="Times New Roman"/>
      <w:sz w:val="20"/>
      <w:szCs w:val="20"/>
    </w:rPr>
  </w:style>
  <w:style w:type="character" w:styleId="Appeldenotedefin">
    <w:name w:val="endnote reference"/>
    <w:basedOn w:val="Policepardfaut"/>
    <w:uiPriority w:val="99"/>
    <w:semiHidden/>
    <w:unhideWhenUsed/>
    <w:rsid w:val="00FA5131"/>
    <w:rPr>
      <w:vertAlign w:val="superscript"/>
    </w:rPr>
  </w:style>
  <w:style w:type="paragraph" w:styleId="Textedebulles">
    <w:name w:val="Balloon Text"/>
    <w:basedOn w:val="Normal"/>
    <w:link w:val="TextedebullesCar"/>
    <w:uiPriority w:val="99"/>
    <w:semiHidden/>
    <w:unhideWhenUsed/>
    <w:rsid w:val="00035DC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35DC0"/>
    <w:rPr>
      <w:rFonts w:ascii="Tahoma" w:hAnsi="Tahoma" w:cs="Tahoma"/>
      <w:sz w:val="16"/>
      <w:szCs w:val="16"/>
    </w:rPr>
  </w:style>
  <w:style w:type="paragraph" w:styleId="Lgende">
    <w:name w:val="caption"/>
    <w:basedOn w:val="Normal"/>
    <w:next w:val="Normal"/>
    <w:uiPriority w:val="35"/>
    <w:unhideWhenUsed/>
    <w:qFormat/>
    <w:rsid w:val="00011EA3"/>
    <w:pPr>
      <w:spacing w:after="200" w:line="240" w:lineRule="auto"/>
    </w:pPr>
    <w:rPr>
      <w:iCs/>
      <w:szCs w:val="18"/>
    </w:rPr>
  </w:style>
  <w:style w:type="paragraph" w:styleId="Notedebasdepage">
    <w:name w:val="footnote text"/>
    <w:basedOn w:val="Normal"/>
    <w:link w:val="NotedebasdepageCar"/>
    <w:uiPriority w:val="99"/>
    <w:unhideWhenUsed/>
    <w:rsid w:val="008012E4"/>
    <w:pPr>
      <w:keepLines/>
      <w:spacing w:after="0" w:line="240" w:lineRule="auto"/>
    </w:pPr>
    <w:rPr>
      <w:szCs w:val="20"/>
    </w:rPr>
  </w:style>
  <w:style w:type="character" w:customStyle="1" w:styleId="NotedebasdepageCar">
    <w:name w:val="Note de bas de page Car"/>
    <w:basedOn w:val="Policepardfaut"/>
    <w:link w:val="Notedebasdepage"/>
    <w:uiPriority w:val="99"/>
    <w:rsid w:val="008012E4"/>
    <w:rPr>
      <w:rFonts w:ascii="Times New Roman" w:hAnsi="Times New Roman"/>
      <w:sz w:val="20"/>
      <w:szCs w:val="20"/>
    </w:rPr>
  </w:style>
  <w:style w:type="paragraph" w:styleId="Bibliographie">
    <w:name w:val="Bibliography"/>
    <w:basedOn w:val="Normal"/>
    <w:next w:val="Normal"/>
    <w:uiPriority w:val="37"/>
    <w:unhideWhenUsed/>
    <w:rsid w:val="008012E4"/>
  </w:style>
  <w:style w:type="paragraph" w:styleId="En-ttedetabledesmatires">
    <w:name w:val="TOC Heading"/>
    <w:basedOn w:val="Titre1"/>
    <w:next w:val="Normal"/>
    <w:uiPriority w:val="39"/>
    <w:unhideWhenUsed/>
    <w:qFormat/>
    <w:rsid w:val="00CC0721"/>
    <w:pPr>
      <w:jc w:val="left"/>
      <w:outlineLvl w:val="9"/>
    </w:pPr>
    <w:rPr>
      <w:rFonts w:asciiTheme="majorHAnsi" w:hAnsiTheme="majorHAnsi"/>
      <w:b w:val="0"/>
      <w:color w:val="2E74B5" w:themeColor="accent1" w:themeShade="BF"/>
      <w:sz w:val="32"/>
      <w:lang w:val="en-US"/>
    </w:rPr>
  </w:style>
  <w:style w:type="paragraph" w:styleId="TM1">
    <w:name w:val="toc 1"/>
    <w:basedOn w:val="Normal"/>
    <w:next w:val="Normal"/>
    <w:autoRedefine/>
    <w:uiPriority w:val="39"/>
    <w:unhideWhenUsed/>
    <w:rsid w:val="00CC0721"/>
    <w:pPr>
      <w:spacing w:after="100"/>
    </w:pPr>
  </w:style>
  <w:style w:type="paragraph" w:styleId="TM2">
    <w:name w:val="toc 2"/>
    <w:basedOn w:val="Normal"/>
    <w:next w:val="Normal"/>
    <w:autoRedefine/>
    <w:uiPriority w:val="39"/>
    <w:unhideWhenUsed/>
    <w:rsid w:val="00CC0721"/>
    <w:pPr>
      <w:spacing w:after="100"/>
      <w:ind w:left="200"/>
    </w:pPr>
  </w:style>
  <w:style w:type="character" w:styleId="Lienhypertexte">
    <w:name w:val="Hyperlink"/>
    <w:basedOn w:val="Policepardfaut"/>
    <w:uiPriority w:val="99"/>
    <w:unhideWhenUsed/>
    <w:rsid w:val="00CC0721"/>
    <w:rPr>
      <w:color w:val="0563C1" w:themeColor="hyperlink"/>
      <w:u w:val="single"/>
    </w:rPr>
  </w:style>
  <w:style w:type="character" w:customStyle="1" w:styleId="Titre3Car">
    <w:name w:val="Titre 3 Car"/>
    <w:basedOn w:val="Policepardfaut"/>
    <w:link w:val="Titre3"/>
    <w:uiPriority w:val="9"/>
    <w:rsid w:val="00CC0721"/>
    <w:rPr>
      <w:rFonts w:ascii="Times New Roman" w:eastAsiaTheme="majorEastAsia" w:hAnsi="Times New Roman" w:cstheme="majorBidi"/>
      <w:sz w:val="20"/>
      <w:szCs w:val="24"/>
    </w:rPr>
  </w:style>
  <w:style w:type="paragraph" w:styleId="TM3">
    <w:name w:val="toc 3"/>
    <w:basedOn w:val="Normal"/>
    <w:next w:val="Normal"/>
    <w:autoRedefine/>
    <w:uiPriority w:val="39"/>
    <w:unhideWhenUsed/>
    <w:rsid w:val="00CF18C6"/>
    <w:pPr>
      <w:spacing w:after="100"/>
      <w:ind w:left="400"/>
    </w:pPr>
  </w:style>
  <w:style w:type="paragraph" w:styleId="En-tte">
    <w:name w:val="header"/>
    <w:basedOn w:val="Normal"/>
    <w:link w:val="En-tteCar"/>
    <w:uiPriority w:val="99"/>
    <w:unhideWhenUsed/>
    <w:rsid w:val="008A75A7"/>
    <w:pPr>
      <w:tabs>
        <w:tab w:val="center" w:pos="4513"/>
        <w:tab w:val="right" w:pos="9026"/>
      </w:tabs>
      <w:spacing w:after="0" w:line="240" w:lineRule="auto"/>
    </w:pPr>
  </w:style>
  <w:style w:type="character" w:customStyle="1" w:styleId="En-tteCar">
    <w:name w:val="En-tête Car"/>
    <w:basedOn w:val="Policepardfaut"/>
    <w:link w:val="En-tte"/>
    <w:uiPriority w:val="99"/>
    <w:rsid w:val="008A75A7"/>
    <w:rPr>
      <w:rFonts w:ascii="Times New Roman" w:hAnsi="Times New Roman"/>
      <w:sz w:val="20"/>
    </w:rPr>
  </w:style>
  <w:style w:type="paragraph" w:styleId="Pieddepage">
    <w:name w:val="footer"/>
    <w:basedOn w:val="Normal"/>
    <w:link w:val="PieddepageCar"/>
    <w:uiPriority w:val="99"/>
    <w:unhideWhenUsed/>
    <w:rsid w:val="008A75A7"/>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8A75A7"/>
    <w:rPr>
      <w:rFonts w:ascii="Times New Roman" w:hAnsi="Times New Roman"/>
      <w:sz w:val="20"/>
    </w:rPr>
  </w:style>
  <w:style w:type="character" w:styleId="Textedelespacerserv">
    <w:name w:val="Placeholder Text"/>
    <w:basedOn w:val="Policepardfaut"/>
    <w:uiPriority w:val="99"/>
    <w:semiHidden/>
    <w:rsid w:val="0040087D"/>
    <w:rPr>
      <w:color w:val="808080"/>
    </w:rPr>
  </w:style>
  <w:style w:type="character" w:styleId="Appelnotedebasdep">
    <w:name w:val="footnote reference"/>
    <w:basedOn w:val="Policepardfaut"/>
    <w:uiPriority w:val="99"/>
    <w:semiHidden/>
    <w:unhideWhenUsed/>
    <w:rsid w:val="00E25581"/>
    <w:rPr>
      <w:vertAlign w:val="superscript"/>
    </w:rPr>
  </w:style>
  <w:style w:type="character" w:styleId="Marquedecommentaire">
    <w:name w:val="annotation reference"/>
    <w:basedOn w:val="Policepardfaut"/>
    <w:uiPriority w:val="99"/>
    <w:semiHidden/>
    <w:unhideWhenUsed/>
    <w:rsid w:val="00AB4F7C"/>
    <w:rPr>
      <w:sz w:val="18"/>
      <w:szCs w:val="18"/>
    </w:rPr>
  </w:style>
  <w:style w:type="paragraph" w:styleId="Commentaire">
    <w:name w:val="annotation text"/>
    <w:basedOn w:val="Normal"/>
    <w:link w:val="CommentaireCar"/>
    <w:uiPriority w:val="99"/>
    <w:semiHidden/>
    <w:unhideWhenUsed/>
    <w:rsid w:val="00AB4F7C"/>
    <w:pPr>
      <w:spacing w:line="240" w:lineRule="auto"/>
    </w:pPr>
    <w:rPr>
      <w:sz w:val="24"/>
      <w:szCs w:val="24"/>
    </w:rPr>
  </w:style>
  <w:style w:type="character" w:customStyle="1" w:styleId="CommentaireCar">
    <w:name w:val="Commentaire Car"/>
    <w:basedOn w:val="Policepardfaut"/>
    <w:link w:val="Commentaire"/>
    <w:uiPriority w:val="99"/>
    <w:semiHidden/>
    <w:rsid w:val="00AB4F7C"/>
    <w:rPr>
      <w:rFonts w:ascii="Times New Roman" w:hAnsi="Times New Roman"/>
      <w:sz w:val="24"/>
      <w:szCs w:val="24"/>
    </w:rPr>
  </w:style>
  <w:style w:type="paragraph" w:styleId="Objetducommentaire">
    <w:name w:val="annotation subject"/>
    <w:basedOn w:val="Commentaire"/>
    <w:next w:val="Commentaire"/>
    <w:link w:val="ObjetducommentaireCar"/>
    <w:uiPriority w:val="99"/>
    <w:semiHidden/>
    <w:unhideWhenUsed/>
    <w:rsid w:val="00AB4F7C"/>
    <w:rPr>
      <w:b/>
      <w:bCs/>
      <w:sz w:val="20"/>
      <w:szCs w:val="20"/>
    </w:rPr>
  </w:style>
  <w:style w:type="character" w:customStyle="1" w:styleId="ObjetducommentaireCar">
    <w:name w:val="Objet du commentaire Car"/>
    <w:basedOn w:val="CommentaireCar"/>
    <w:link w:val="Objetducommentaire"/>
    <w:uiPriority w:val="99"/>
    <w:semiHidden/>
    <w:rsid w:val="00AB4F7C"/>
    <w:rPr>
      <w:rFonts w:ascii="Times New Roman" w:hAnsi="Times New Roman"/>
      <w:b/>
      <w:bCs/>
      <w:sz w:val="20"/>
      <w:szCs w:val="20"/>
    </w:rPr>
  </w:style>
</w:styles>
</file>

<file path=word/webSettings.xml><?xml version="1.0" encoding="utf-8"?>
<w:webSettings xmlns:r="http://schemas.openxmlformats.org/officeDocument/2006/relationships" xmlns:w="http://schemas.openxmlformats.org/wordprocessingml/2006/main">
  <w:divs>
    <w:div w:id="202167">
      <w:bodyDiv w:val="1"/>
      <w:marLeft w:val="0"/>
      <w:marRight w:val="0"/>
      <w:marTop w:val="0"/>
      <w:marBottom w:val="0"/>
      <w:divBdr>
        <w:top w:val="none" w:sz="0" w:space="0" w:color="auto"/>
        <w:left w:val="none" w:sz="0" w:space="0" w:color="auto"/>
        <w:bottom w:val="none" w:sz="0" w:space="0" w:color="auto"/>
        <w:right w:val="none" w:sz="0" w:space="0" w:color="auto"/>
      </w:divBdr>
    </w:div>
    <w:div w:id="22050263">
      <w:bodyDiv w:val="1"/>
      <w:marLeft w:val="0"/>
      <w:marRight w:val="0"/>
      <w:marTop w:val="0"/>
      <w:marBottom w:val="0"/>
      <w:divBdr>
        <w:top w:val="none" w:sz="0" w:space="0" w:color="auto"/>
        <w:left w:val="none" w:sz="0" w:space="0" w:color="auto"/>
        <w:bottom w:val="none" w:sz="0" w:space="0" w:color="auto"/>
        <w:right w:val="none" w:sz="0" w:space="0" w:color="auto"/>
      </w:divBdr>
    </w:div>
    <w:div w:id="27143516">
      <w:bodyDiv w:val="1"/>
      <w:marLeft w:val="0"/>
      <w:marRight w:val="0"/>
      <w:marTop w:val="0"/>
      <w:marBottom w:val="0"/>
      <w:divBdr>
        <w:top w:val="none" w:sz="0" w:space="0" w:color="auto"/>
        <w:left w:val="none" w:sz="0" w:space="0" w:color="auto"/>
        <w:bottom w:val="none" w:sz="0" w:space="0" w:color="auto"/>
        <w:right w:val="none" w:sz="0" w:space="0" w:color="auto"/>
      </w:divBdr>
    </w:div>
    <w:div w:id="112792131">
      <w:bodyDiv w:val="1"/>
      <w:marLeft w:val="0"/>
      <w:marRight w:val="0"/>
      <w:marTop w:val="0"/>
      <w:marBottom w:val="0"/>
      <w:divBdr>
        <w:top w:val="none" w:sz="0" w:space="0" w:color="auto"/>
        <w:left w:val="none" w:sz="0" w:space="0" w:color="auto"/>
        <w:bottom w:val="none" w:sz="0" w:space="0" w:color="auto"/>
        <w:right w:val="none" w:sz="0" w:space="0" w:color="auto"/>
      </w:divBdr>
    </w:div>
    <w:div w:id="222714991">
      <w:bodyDiv w:val="1"/>
      <w:marLeft w:val="0"/>
      <w:marRight w:val="0"/>
      <w:marTop w:val="0"/>
      <w:marBottom w:val="0"/>
      <w:divBdr>
        <w:top w:val="none" w:sz="0" w:space="0" w:color="auto"/>
        <w:left w:val="none" w:sz="0" w:space="0" w:color="auto"/>
        <w:bottom w:val="none" w:sz="0" w:space="0" w:color="auto"/>
        <w:right w:val="none" w:sz="0" w:space="0" w:color="auto"/>
      </w:divBdr>
    </w:div>
    <w:div w:id="305864205">
      <w:bodyDiv w:val="1"/>
      <w:marLeft w:val="0"/>
      <w:marRight w:val="0"/>
      <w:marTop w:val="0"/>
      <w:marBottom w:val="0"/>
      <w:divBdr>
        <w:top w:val="none" w:sz="0" w:space="0" w:color="auto"/>
        <w:left w:val="none" w:sz="0" w:space="0" w:color="auto"/>
        <w:bottom w:val="none" w:sz="0" w:space="0" w:color="auto"/>
        <w:right w:val="none" w:sz="0" w:space="0" w:color="auto"/>
      </w:divBdr>
    </w:div>
    <w:div w:id="419642065">
      <w:bodyDiv w:val="1"/>
      <w:marLeft w:val="0"/>
      <w:marRight w:val="0"/>
      <w:marTop w:val="0"/>
      <w:marBottom w:val="0"/>
      <w:divBdr>
        <w:top w:val="none" w:sz="0" w:space="0" w:color="auto"/>
        <w:left w:val="none" w:sz="0" w:space="0" w:color="auto"/>
        <w:bottom w:val="none" w:sz="0" w:space="0" w:color="auto"/>
        <w:right w:val="none" w:sz="0" w:space="0" w:color="auto"/>
      </w:divBdr>
    </w:div>
    <w:div w:id="464323209">
      <w:bodyDiv w:val="1"/>
      <w:marLeft w:val="0"/>
      <w:marRight w:val="0"/>
      <w:marTop w:val="0"/>
      <w:marBottom w:val="0"/>
      <w:divBdr>
        <w:top w:val="none" w:sz="0" w:space="0" w:color="auto"/>
        <w:left w:val="none" w:sz="0" w:space="0" w:color="auto"/>
        <w:bottom w:val="none" w:sz="0" w:space="0" w:color="auto"/>
        <w:right w:val="none" w:sz="0" w:space="0" w:color="auto"/>
      </w:divBdr>
      <w:divsChild>
        <w:div w:id="419496987">
          <w:marLeft w:val="0"/>
          <w:marRight w:val="0"/>
          <w:marTop w:val="0"/>
          <w:marBottom w:val="0"/>
          <w:divBdr>
            <w:top w:val="none" w:sz="0" w:space="0" w:color="auto"/>
            <w:left w:val="none" w:sz="0" w:space="0" w:color="auto"/>
            <w:bottom w:val="none" w:sz="0" w:space="0" w:color="auto"/>
            <w:right w:val="none" w:sz="0" w:space="0" w:color="auto"/>
          </w:divBdr>
        </w:div>
        <w:div w:id="417137654">
          <w:marLeft w:val="0"/>
          <w:marRight w:val="0"/>
          <w:marTop w:val="0"/>
          <w:marBottom w:val="0"/>
          <w:divBdr>
            <w:top w:val="none" w:sz="0" w:space="0" w:color="auto"/>
            <w:left w:val="none" w:sz="0" w:space="0" w:color="auto"/>
            <w:bottom w:val="none" w:sz="0" w:space="0" w:color="auto"/>
            <w:right w:val="none" w:sz="0" w:space="0" w:color="auto"/>
          </w:divBdr>
        </w:div>
        <w:div w:id="1848516230">
          <w:marLeft w:val="0"/>
          <w:marRight w:val="0"/>
          <w:marTop w:val="0"/>
          <w:marBottom w:val="0"/>
          <w:divBdr>
            <w:top w:val="none" w:sz="0" w:space="0" w:color="auto"/>
            <w:left w:val="none" w:sz="0" w:space="0" w:color="auto"/>
            <w:bottom w:val="none" w:sz="0" w:space="0" w:color="auto"/>
            <w:right w:val="none" w:sz="0" w:space="0" w:color="auto"/>
          </w:divBdr>
        </w:div>
        <w:div w:id="2124685412">
          <w:marLeft w:val="0"/>
          <w:marRight w:val="0"/>
          <w:marTop w:val="0"/>
          <w:marBottom w:val="0"/>
          <w:divBdr>
            <w:top w:val="none" w:sz="0" w:space="0" w:color="auto"/>
            <w:left w:val="none" w:sz="0" w:space="0" w:color="auto"/>
            <w:bottom w:val="none" w:sz="0" w:space="0" w:color="auto"/>
            <w:right w:val="none" w:sz="0" w:space="0" w:color="auto"/>
          </w:divBdr>
        </w:div>
        <w:div w:id="769666876">
          <w:marLeft w:val="0"/>
          <w:marRight w:val="0"/>
          <w:marTop w:val="0"/>
          <w:marBottom w:val="0"/>
          <w:divBdr>
            <w:top w:val="none" w:sz="0" w:space="0" w:color="auto"/>
            <w:left w:val="none" w:sz="0" w:space="0" w:color="auto"/>
            <w:bottom w:val="none" w:sz="0" w:space="0" w:color="auto"/>
            <w:right w:val="none" w:sz="0" w:space="0" w:color="auto"/>
          </w:divBdr>
        </w:div>
      </w:divsChild>
    </w:div>
    <w:div w:id="540283618">
      <w:bodyDiv w:val="1"/>
      <w:marLeft w:val="0"/>
      <w:marRight w:val="0"/>
      <w:marTop w:val="0"/>
      <w:marBottom w:val="0"/>
      <w:divBdr>
        <w:top w:val="none" w:sz="0" w:space="0" w:color="auto"/>
        <w:left w:val="none" w:sz="0" w:space="0" w:color="auto"/>
        <w:bottom w:val="none" w:sz="0" w:space="0" w:color="auto"/>
        <w:right w:val="none" w:sz="0" w:space="0" w:color="auto"/>
      </w:divBdr>
    </w:div>
    <w:div w:id="698777440">
      <w:bodyDiv w:val="1"/>
      <w:marLeft w:val="0"/>
      <w:marRight w:val="0"/>
      <w:marTop w:val="0"/>
      <w:marBottom w:val="0"/>
      <w:divBdr>
        <w:top w:val="none" w:sz="0" w:space="0" w:color="auto"/>
        <w:left w:val="none" w:sz="0" w:space="0" w:color="auto"/>
        <w:bottom w:val="none" w:sz="0" w:space="0" w:color="auto"/>
        <w:right w:val="none" w:sz="0" w:space="0" w:color="auto"/>
      </w:divBdr>
    </w:div>
    <w:div w:id="746145725">
      <w:bodyDiv w:val="1"/>
      <w:marLeft w:val="0"/>
      <w:marRight w:val="0"/>
      <w:marTop w:val="0"/>
      <w:marBottom w:val="0"/>
      <w:divBdr>
        <w:top w:val="none" w:sz="0" w:space="0" w:color="auto"/>
        <w:left w:val="none" w:sz="0" w:space="0" w:color="auto"/>
        <w:bottom w:val="none" w:sz="0" w:space="0" w:color="auto"/>
        <w:right w:val="none" w:sz="0" w:space="0" w:color="auto"/>
      </w:divBdr>
    </w:div>
    <w:div w:id="811991319">
      <w:bodyDiv w:val="1"/>
      <w:marLeft w:val="0"/>
      <w:marRight w:val="0"/>
      <w:marTop w:val="0"/>
      <w:marBottom w:val="0"/>
      <w:divBdr>
        <w:top w:val="none" w:sz="0" w:space="0" w:color="auto"/>
        <w:left w:val="none" w:sz="0" w:space="0" w:color="auto"/>
        <w:bottom w:val="none" w:sz="0" w:space="0" w:color="auto"/>
        <w:right w:val="none" w:sz="0" w:space="0" w:color="auto"/>
      </w:divBdr>
    </w:div>
    <w:div w:id="892430454">
      <w:bodyDiv w:val="1"/>
      <w:marLeft w:val="0"/>
      <w:marRight w:val="0"/>
      <w:marTop w:val="0"/>
      <w:marBottom w:val="0"/>
      <w:divBdr>
        <w:top w:val="none" w:sz="0" w:space="0" w:color="auto"/>
        <w:left w:val="none" w:sz="0" w:space="0" w:color="auto"/>
        <w:bottom w:val="none" w:sz="0" w:space="0" w:color="auto"/>
        <w:right w:val="none" w:sz="0" w:space="0" w:color="auto"/>
      </w:divBdr>
    </w:div>
    <w:div w:id="990909064">
      <w:bodyDiv w:val="1"/>
      <w:marLeft w:val="0"/>
      <w:marRight w:val="0"/>
      <w:marTop w:val="0"/>
      <w:marBottom w:val="0"/>
      <w:divBdr>
        <w:top w:val="none" w:sz="0" w:space="0" w:color="auto"/>
        <w:left w:val="none" w:sz="0" w:space="0" w:color="auto"/>
        <w:bottom w:val="none" w:sz="0" w:space="0" w:color="auto"/>
        <w:right w:val="none" w:sz="0" w:space="0" w:color="auto"/>
      </w:divBdr>
    </w:div>
    <w:div w:id="1078870013">
      <w:bodyDiv w:val="1"/>
      <w:marLeft w:val="0"/>
      <w:marRight w:val="0"/>
      <w:marTop w:val="0"/>
      <w:marBottom w:val="0"/>
      <w:divBdr>
        <w:top w:val="none" w:sz="0" w:space="0" w:color="auto"/>
        <w:left w:val="none" w:sz="0" w:space="0" w:color="auto"/>
        <w:bottom w:val="none" w:sz="0" w:space="0" w:color="auto"/>
        <w:right w:val="none" w:sz="0" w:space="0" w:color="auto"/>
      </w:divBdr>
    </w:div>
    <w:div w:id="1126461034">
      <w:bodyDiv w:val="1"/>
      <w:marLeft w:val="0"/>
      <w:marRight w:val="0"/>
      <w:marTop w:val="0"/>
      <w:marBottom w:val="0"/>
      <w:divBdr>
        <w:top w:val="none" w:sz="0" w:space="0" w:color="auto"/>
        <w:left w:val="none" w:sz="0" w:space="0" w:color="auto"/>
        <w:bottom w:val="none" w:sz="0" w:space="0" w:color="auto"/>
        <w:right w:val="none" w:sz="0" w:space="0" w:color="auto"/>
      </w:divBdr>
    </w:div>
    <w:div w:id="1234583929">
      <w:bodyDiv w:val="1"/>
      <w:marLeft w:val="0"/>
      <w:marRight w:val="0"/>
      <w:marTop w:val="0"/>
      <w:marBottom w:val="0"/>
      <w:divBdr>
        <w:top w:val="none" w:sz="0" w:space="0" w:color="auto"/>
        <w:left w:val="none" w:sz="0" w:space="0" w:color="auto"/>
        <w:bottom w:val="none" w:sz="0" w:space="0" w:color="auto"/>
        <w:right w:val="none" w:sz="0" w:space="0" w:color="auto"/>
      </w:divBdr>
    </w:div>
    <w:div w:id="1245260102">
      <w:bodyDiv w:val="1"/>
      <w:marLeft w:val="0"/>
      <w:marRight w:val="0"/>
      <w:marTop w:val="0"/>
      <w:marBottom w:val="0"/>
      <w:divBdr>
        <w:top w:val="none" w:sz="0" w:space="0" w:color="auto"/>
        <w:left w:val="none" w:sz="0" w:space="0" w:color="auto"/>
        <w:bottom w:val="none" w:sz="0" w:space="0" w:color="auto"/>
        <w:right w:val="none" w:sz="0" w:space="0" w:color="auto"/>
      </w:divBdr>
    </w:div>
    <w:div w:id="1647509979">
      <w:bodyDiv w:val="1"/>
      <w:marLeft w:val="0"/>
      <w:marRight w:val="0"/>
      <w:marTop w:val="0"/>
      <w:marBottom w:val="0"/>
      <w:divBdr>
        <w:top w:val="none" w:sz="0" w:space="0" w:color="auto"/>
        <w:left w:val="none" w:sz="0" w:space="0" w:color="auto"/>
        <w:bottom w:val="none" w:sz="0" w:space="0" w:color="auto"/>
        <w:right w:val="none" w:sz="0" w:space="0" w:color="auto"/>
      </w:divBdr>
    </w:div>
    <w:div w:id="1959140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Coi19</b:Tag>
    <b:SourceType>Misc</b:SourceType>
    <b:Guid>{94A88FFC-FCEF-4C93-BA29-E55176CF6928}</b:Guid>
    <b:YearAccessed>2019</b:YearAccessed>
    <b:MonthAccessed>November</b:MonthAccessed>
    <b:DayAccessed>5</b:DayAccessed>
    <b:URL>https://coinmarketcap.com/</b:URL>
    <b:Author>
      <b:Author>
        <b:NameList>
          <b:Person>
            <b:Last>CoinMarketCap</b:Last>
          </b:Person>
        </b:NameList>
      </b:Author>
    </b:Author>
    <b:Publisher>Available online at : https://coinmarketcap.com/ [Accessed : 5/11/2019]</b:Publisher>
    <b:RefOrder>2</b:RefOrder>
  </b:Source>
  <b:Source>
    <b:Tag>Jor06</b:Tag>
    <b:SourceType>Book</b:SourceType>
    <b:Guid>{57185A48-AB96-4ACC-9749-EE4DE1DE0A9A}</b:Guid>
    <b:Title>Value at Risk: the new benchmark for managing financial risk, 3rd ed.</b:Title>
    <b:Year>2006</b:Year>
    <b:Publisher>McGraw-Hill Professional</b:Publisher>
    <b:Author>
      <b:Author>
        <b:NameList>
          <b:Person>
            <b:Last>Jorion</b:Last>
            <b:First>Philippe</b:First>
          </b:Person>
        </b:NameList>
      </b:Author>
    </b:Author>
    <b:RefOrder>1</b:RefOrder>
  </b:Source>
  <b:Source>
    <b:Tag>Bas16</b:Tag>
    <b:SourceType>Report</b:SourceType>
    <b:Guid>{5C7C0C03-7BF9-42FD-92D9-75FA92E166C1}</b:Guid>
    <b:Title>Minimum capital requirements for market risk</b:Title>
    <b:Year>2016</b:Year>
    <b:City>Basel</b:City>
    <b:Publisher>Bank for International Settlements</b:Publisher>
    <b:Author>
      <b:Author>
        <b:Corporate>Basel Committee on Banking Supervision</b:Corporate>
      </b:Author>
    </b:Author>
    <b:RefOrder>6</b:RefOrder>
  </b:Source>
  <b:Source>
    <b:Tag>Pol94</b:Tag>
    <b:SourceType>JournalArticle</b:SourceType>
    <b:Guid>{29131425-7367-4A31-BDBB-98A73841EC1E}</b:Guid>
    <b:Author>
      <b:Author>
        <b:NameList>
          <b:Person>
            <b:Last>Politis</b:Last>
            <b:First>D.</b:First>
            <b:Middle>N.</b:Middle>
          </b:Person>
          <b:Person>
            <b:Last>Romano</b:Last>
            <b:First>J.</b:First>
            <b:Middle>P.</b:Middle>
          </b:Person>
        </b:NameList>
      </b:Author>
    </b:Author>
    <b:Title>Large sample confidence regions based on subsamples under minimal assumptions</b:Title>
    <b:Year>1994</b:Year>
    <b:JournalName>The Annals of Statistics</b:JournalName>
    <b:Pages>2031-2050</b:Pages>
    <b:Volume>22</b:Volume>
    <b:Issue>4</b:Issue>
    <b:RefOrder>5</b:RefOrder>
  </b:Source>
  <b:Source>
    <b:Tag>Ber10</b:Tag>
    <b:SourceType>Book</b:SourceType>
    <b:Guid>{17FADA4D-0805-494A-ABC7-2844F03026DF}</b:Guid>
    <b:LCID>1033</b:LCID>
    <b:Author>
      <b:Author>
        <b:NameList>
          <b:Person>
            <b:Last>Bernstein</b:Last>
            <b:First>J.</b:First>
            <b:Middle>William</b:Middle>
          </b:Person>
        </b:NameList>
      </b:Author>
    </b:Author>
    <b:Title>The Four Pillars of Investing: Lessons for Building a Winning Portfolio</b:Title>
    <b:Year>2010</b:Year>
    <b:City>New York</b:City>
    <b:Publisher>McGraw-Hill</b:Publisher>
    <b:RefOrder>3</b:RefOrder>
  </b:Source>
  <b:Source>
    <b:Tag>Gho10</b:Tag>
    <b:SourceType>JournalArticle</b:SourceType>
    <b:Guid>{C48E80B9-266C-4749-A2C4-948B66EF1F3C}</b:Guid>
    <b:LCID>0</b:LCID>
    <b:Author>
      <b:Author>
        <b:NameList>
          <b:Person>
            <b:Last>Ghosh</b:Last>
            <b:First>Souvik</b:First>
          </b:Person>
          <b:Person>
            <b:Last>Resnick</b:Last>
            <b:First>Sidney</b:First>
          </b:Person>
        </b:NameList>
      </b:Author>
    </b:Author>
    <b:Title>A discussion on mean excess plots</b:Title>
    <b:Year>2010</b:Year>
    <b:JournalName>Stochastic Processes and their Applications</b:JournalName>
    <b:Pages>1492–1517</b:Pages>
    <b:Volume>120</b:Volume>
    <b:RefOrder>4</b:RefOrder>
  </b:Source>
</b:Sources>
</file>

<file path=customXml/itemProps1.xml><?xml version="1.0" encoding="utf-8"?>
<ds:datastoreItem xmlns:ds="http://schemas.openxmlformats.org/officeDocument/2006/customXml" ds:itemID="{9AAFB419-9543-49DC-9B8D-7916B7108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8</Pages>
  <Words>3172</Words>
  <Characters>17449</Characters>
  <Application>Microsoft Office Word</Application>
  <DocSecurity>0</DocSecurity>
  <Lines>145</Lines>
  <Paragraphs>41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CERN</Company>
  <LinksUpToDate>false</LinksUpToDate>
  <CharactersWithSpaces>20580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Biagio Zaffora</dc:creator>
  <cp:keywords/>
  <dc:description/>
  <cp:lastModifiedBy>Biagio Zaffora</cp:lastModifiedBy>
  <cp:revision>66</cp:revision>
  <dcterms:created xsi:type="dcterms:W3CDTF">2019-11-29T16:08:00Z</dcterms:created>
  <dcterms:modified xsi:type="dcterms:W3CDTF">2020-06-15T12:47:00Z</dcterms:modified>
</cp:coreProperties>
</file>