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3"/>
        <w:gridCol w:w="3476"/>
        <w:gridCol w:w="1830"/>
        <w:tblGridChange w:id="0">
          <w:tblGrid>
            <w:gridCol w:w="3323"/>
            <w:gridCol w:w="3476"/>
            <w:gridCol w:w="18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Nume, prenume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 = numărul de consoane din nume și primul prenume;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=  2+ (b mod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completării formularului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b =...., a =...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se folosește la subiectele 1, 2 și 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13.01.2022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Lucrarea de control nr. 2 - Programarea 2 – Setul de întrebări nr. 1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(Toate întrebările corespund părții de Teorie II)</w:t>
      </w:r>
    </w:p>
    <w:p w:rsidR="00000000" w:rsidDel="00000000" w:rsidP="00000000" w:rsidRDefault="00000000" w:rsidRPr="00000000" w14:paraId="0000000D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(Formularul completat se depune în format pdf până la ora 17:30)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1. Arătați că ați înțeles subsecțiunea „Sisteme cu răspuns la impuls în timp finit” (§ 3.3, secțiunea 1, subsecțiunea D) și că aveți capacitatea să o legați de alte teme din curs răspunzând la următoarele întrebări.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 Să se elaboreze un plan de idei pentru această subsecțiune. (0.8 pt.)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ii) Se consideră că în relația (28) de la pag. 98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.333333333333336"/>
                <w:szCs w:val="33.333333333333336"/>
                <w:vertAlign w:val="subscript"/>
              </w:rPr>
              <w:pict>
                <v:shape id="_x0000_i1025" style="width:283.9pt;height:18pt" o:ole="" type="#_x0000_t75">
                  <v:imagedata r:id="rId1" o:title=""/>
                </v:shape>
                <o:OLEObject DrawAspect="Content" r:id="rId2" ObjectID="_1703594968" ProgID="Equation.3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avem t</w:t>
            </w:r>
            <w:r w:rsidDel="00000000" w:rsidR="00000000" w:rsidRPr="00000000">
              <w:rPr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a. Desenați o schemă bloc a sistemului astfel încât să evidențieze toate variabilele de stare. (</w:t>
            </w:r>
            <w:r w:rsidDel="00000000" w:rsidR="00000000" w:rsidRPr="00000000">
              <w:rPr>
                <w:highlight w:val="white"/>
                <w:rtl w:val="0"/>
              </w:rPr>
              <w:t xml:space="preserve">0.4 pt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iii) Se consideră că în relația (28) de la pag. 98 avem t</w:t>
            </w:r>
            <w:r w:rsidDel="00000000" w:rsidR="00000000" w:rsidRPr="00000000">
              <w:rPr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a. Desenați un graf al sistemului astfel încât să evidențieze toate variabilele de stare. (0.4 pt.)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Indicație: O posibilitate de a răspunde vă oferă § 3.6, secțiunea 2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consideră că în relația (28) de la pag. 98 avem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a. Scrieți un MM-ISI al sistemului. (0.4 pt.)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Indicație: O posibilitate de a răspunde vă oferă § 3.6, secțiunea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  <w:t xml:space="preserve">2. Pentru conexiunea cu reacție din § 3.4, secțiunea 1. se consideră că reacția este pozitivă și că sistemele (S1) și (S2) au MM-ISI:</w:t>
      </w:r>
    </w:p>
    <w:p w:rsidR="00000000" w:rsidDel="00000000" w:rsidP="00000000" w:rsidRDefault="00000000" w:rsidRPr="00000000" w14:paraId="00000020">
      <w:pPr>
        <w:spacing w:after="0" w:before="120" w:lineRule="auto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345.4pt;height:64.9pt" o:ole="" type="#_x0000_t75">
            <v:imagedata r:id="rId3" o:title=""/>
          </v:shape>
          <o:OLEObject DrawAspect="Content" r:id="rId4" ObjectID="_1703594969" ProgID="Equation.3" ShapeID="_x0000_i1026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Să se calculeze MM-ISI al conexiunii (0.8 pt.).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3. Pentru exemplul din § 4.1, secțiunea 3 se consideră că blocul E (elementul de execuție sau actuatorul) are f.d.t.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(s)=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20+a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10∙s+1</m:t>
            </m:r>
          </m:den>
        </m:f>
      </m:oMath>
      <w:r w:rsidDel="00000000" w:rsidR="00000000" w:rsidRPr="00000000">
        <w:rPr>
          <w:rtl w:val="0"/>
        </w:rPr>
        <w:t xml:space="preserve"> , iar K</w:t>
      </w:r>
      <w:r w:rsidDel="00000000" w:rsidR="00000000" w:rsidRPr="00000000">
        <w:rPr>
          <w:vertAlign w:val="subscript"/>
          <w:rtl w:val="0"/>
        </w:rPr>
        <w:t xml:space="preserve">CNA</w:t>
      </w:r>
      <w:r w:rsidDel="00000000" w:rsidR="00000000" w:rsidRPr="00000000">
        <w:rPr>
          <w:rtl w:val="0"/>
        </w:rPr>
        <w:t xml:space="preserve">⋅K</w:t>
      </w:r>
      <w:r w:rsidDel="00000000" w:rsidR="00000000" w:rsidRPr="00000000">
        <w:rPr>
          <w:vertAlign w:val="subscript"/>
          <w:rtl w:val="0"/>
        </w:rPr>
        <w:t xml:space="preserve">CAN</w:t>
      </w:r>
      <w:r w:rsidDel="00000000" w:rsidR="00000000" w:rsidRPr="00000000">
        <w:rPr>
          <w:rtl w:val="0"/>
        </w:rPr>
        <w:t xml:space="preserve"> = 1. Să se calculeze dependența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79.15pt;height:14.65pt" o:ole="" type="#_x0000_t75">
            <v:imagedata r:id="rId5" o:title=""/>
          </v:shape>
          <o:OLEObject DrawAspect="Content" r:id="rId6" ObjectID="_1703594970" ProgID="Equation.3" ShapeID="_x0000_i1027" Type="Embed"/>
        </w:pict>
      </w:r>
      <w:r w:rsidDel="00000000" w:rsidR="00000000" w:rsidRPr="00000000">
        <w:rPr>
          <w:rtl w:val="0"/>
        </w:rPr>
        <w:t xml:space="preserve"> și să se reprezinte grafic variația obținută dacă v</w:t>
      </w:r>
      <w:r w:rsidDel="00000000" w:rsidR="00000000" w:rsidRPr="00000000">
        <w:rPr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  = a, K</w:t>
      </w:r>
      <w:r w:rsidDel="00000000" w:rsidR="00000000" w:rsidRPr="00000000">
        <w:rPr>
          <w:vertAlign w:val="subscript"/>
          <w:rtl w:val="0"/>
        </w:rPr>
        <w:t xml:space="preserve">CNA</w:t>
      </w:r>
      <w:r w:rsidDel="00000000" w:rsidR="00000000" w:rsidRPr="00000000">
        <w:rPr>
          <w:rtl w:val="0"/>
        </w:rPr>
        <w:t xml:space="preserve">=5 si </w:t>
      </w:r>
      <m:oMath>
        <m:sSub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vertAlign w:val="subscript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vertAlign w:val="subscript"/>
                  </w:rPr>
                  <m:t xml:space="preserve">w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vertAlign w:val="subscript"/>
              </w:rPr>
              <m:t>∞</m:t>
            </m:r>
          </m:sub>
        </m:sSub>
        <m:r>
          <w:rPr>
            <w:rFonts w:ascii="Cambria Math" w:cs="Cambria Math" w:eastAsia="Cambria Math" w:hAnsi="Cambria Math"/>
            <w:vertAlign w:val="subscript"/>
          </w:rPr>
          <m:t xml:space="preserve">=2</m:t>
        </m:r>
      </m:oMath>
      <w:r w:rsidDel="00000000" w:rsidR="00000000" w:rsidRPr="00000000">
        <w:rPr>
          <w:rtl w:val="0"/>
        </w:rPr>
        <w:t xml:space="preserve">. (0.4 pt.)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4. Concepeți o organigramă pentru aplicarea criteriului de controlabilitate al lui Hautus în ipoteza că se cunosc ordinul sistemului și mulțimea valorilor proprii ale sistemului. (0.8 pt.).</w:t>
      </w:r>
    </w:p>
    <w:p w:rsidR="00000000" w:rsidDel="00000000" w:rsidP="00000000" w:rsidRDefault="00000000" w:rsidRPr="00000000" w14:paraId="00000029">
      <w:pPr>
        <w:spacing w:after="120" w:before="120" w:lineRule="auto"/>
        <w:jc w:val="both"/>
        <w:rPr>
          <w:sz w:val="21"/>
          <w:szCs w:val="21"/>
        </w:rPr>
      </w:pPr>
      <w:r w:rsidDel="00000000" w:rsidR="00000000" w:rsidRPr="00000000">
        <w:rPr>
          <w:i w:val="1"/>
          <w:rtl w:val="0"/>
        </w:rPr>
        <w:t xml:space="preserve">Indicație: Exemple de organigrame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Flowchart examples - Bing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footer" Target="footer1.xml"/><Relationship Id="rId12" Type="http://schemas.openxmlformats.org/officeDocument/2006/relationships/hyperlink" Target="https://www.bing.com/search?q=Flowchart+examples&amp;form=ANSPH1&amp;refig=e1f466e8b4f24d878731ce57c12813d9&amp;pc=U531" TargetMode="Externa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