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FORENSIC WARD</w:t>
      </w:r>
    </w:p>
    <w:p>
      <w:pPr>
        <w:pStyle w:val="Subtitle"/>
      </w:pPr>
      <w:r>
        <w:t>Master Game Design Document • 17 October 2026 • Pre-production v0.1</w:t>
      </w:r>
    </w:p>
    <w:p>
      <w:pPr>
        <w:pStyle w:val="Heading1"/>
      </w:pPr>
      <w:r>
        <w:t>1. Executive vision</w:t>
      </w:r>
    </w:p>
    <w:p>
      <w:r>
        <w:t>The Forensic Ward is a first-person 3D psychological thriller and forensic psychiatry simulation. A newly appointed attending joins a secluded high-security state forensic hospital with research affiliations and an older institutional substructure. Ethical treatment and investigation intersect as the protagonist encounters erased patient identities and the sealed Ward Zero. The core mystery combines The Disappeared and Ward Zero, with Concordance Protocol research as a supporting thread. Institutional wrongdoing is demonstrable; selected anomalies remain ambiguous.</w:t>
      </w:r>
    </w:p>
    <w:p>
      <w:pPr>
        <w:pStyle w:val="Heading1"/>
      </w:pPr>
      <w:r>
        <w:t>2. Locked creative decisions</w:t>
      </w:r>
    </w:p>
    <w:p>
      <w:r>
        <w:t>Narrative: hybrid grounded conspiracy and unresolved anomalies; protagonist: customizable newly graduated attending, personal life limited to apartment and selected interactions; facility: remote state/research institution over a renovated historic asylum; patient launch: combined catatonia/identity/ward-mystery case; interviews: authored branching dialogue plus bounded free-text intent matching; clinical stakes: substantial, branching, recoverable; time: structured shifts with dynamic time and after-hours episodes; staff: dynamic trust and fixed secret agendas; caseload: 4–6 authored core patients plus rotating shorter clinical encounters; difficulty: adaptive; EHR: full clinical and investigative with structured/free-text note pathways; investigation: environmental exploration, chart comparisons, manual evidence linking; horror: environmental, perception, surveillance, and limited reality distortion; story: five acts, 15–25-hour long-range target, multiple endings; audio: adaptive soundscape and selectively voiced major scenes; clinical engine: integrated and deterministic with adaptive help; visual: cinematic hybrid target developed progressively; initial platform: macOS; input: keyboard and mouse.</w:t>
      </w:r>
    </w:p>
    <w:p>
      <w:pPr>
        <w:pStyle w:val="Heading1"/>
      </w:pPr>
      <w:r>
        <w:t>3. Audience and pillars</w:t>
      </w:r>
    </w:p>
    <w:p>
      <w:r>
        <w:t>Primary: story-oriented psychological thriller players. Secondary: medicine/psychiatry enthusiasts. No professional knowledge required in Guided mode. Four pillars: (1) real people and clinically credible encounters; (2) evidence-based medical reasoning with uncertainty; (3) manually assembled, contestable evidence; (4) slow-burn institutional dread. Avoid psychiatric illness as an inherent proxy for violence or paranormal activity.</w:t>
      </w:r>
    </w:p>
    <w:p>
      <w:pPr>
        <w:pStyle w:val="Heading1"/>
      </w:pPr>
      <w:r>
        <w:t>4. Five-act architecture</w:t>
      </w:r>
    </w:p>
    <w:p>
      <w:r>
        <w:t>Act I Orientation: onboarding and first discrepancy. Act II The Missing: conflicting patient identifiers and transfers. Act III Concordance: improper research practices, pharmacological discrepancies, and competing staff loyalties. Act IV Ward Zero: sealed mid-century structures and contradictory testimony. Act V Final Assessment: player submits supported findings and acts on ethical responsibilities; endings combine evidentiary strength, patient outcomes, staff relationships and institutional accountability. Hidden ending reveals additional context without invalidating evidence from normal paths.</w:t>
      </w:r>
    </w:p>
    <w:p>
      <w:pPr>
        <w:pStyle w:val="Heading1"/>
      </w:pPr>
      <w:r>
        <w:t>5. World and characters</w:t>
      </w:r>
    </w:p>
    <w:p>
      <w:r>
        <w:t>Locations: hospital reception, secure clinical wing, nursing station, interview room, doctor office/EHR, security control, research wing, records archive, old asylum substructure, Ward Zero, compact apartment. Staff (working names): Dr Evelyn Voss, medical director; Nurse Naomi Bennett, charge nurse; Marcus Hale, security director; Dr Adrian Mercer, senior psychiatrist; Dr Leila Rahman, clinical pharmacist; Samuel Price, maintenance supervisor. Each has a fixed authored backstory, evidence access rules, and adjustable trust/respect/suspicion; no binary good/evil flags.</w:t>
      </w:r>
    </w:p>
    <w:p>
      <w:pPr>
        <w:pStyle w:val="Heading1"/>
      </w:pPr>
      <w:r>
        <w:t>6. Core loop and time</w:t>
      </w:r>
    </w:p>
    <w:p>
      <w:r>
        <w:t>Per shift: sign in → review overnight updates and clinical priorities → examine/interview → assess, order/reconcile, document, coordinate care → review clues and pursue permitted investigations → sign out/rest or optional after-hours sequence. Time advances during exploration and selected actions, pauses for accessibility in appropriate menus, and can be compressed between shifts. Urgent patient events persist; delegation/escalation are valid actions. Narrative events must not require unsafe clinical neglect.</w:t>
      </w:r>
    </w:p>
    <w:p>
      <w:pPr>
        <w:pStyle w:val="Heading1"/>
      </w:pPr>
      <w:r>
        <w:t>7. Patient simulation</w:t>
      </w:r>
    </w:p>
    <w:p>
      <w:r>
        <w:t>Each patient has fixed identity and longitudinal history; baseline symptoms and observations; hidden medical differential; observations from multiple sources; time-indexed results; medicine reconciliation, allergies, adverse-effect susceptibilities and organ function where relevant; rapport and willingness to disclose; care plan and response windows. Treatment uses clinically reviewed rule sets, not arbitrary a single correct button. Medical deterioration must follow plausible causality and include rescue/escalation branches. Forensic competency is a separate functional/legal assessment from diagnosis.</w:t>
      </w:r>
    </w:p>
    <w:p>
      <w:pPr>
        <w:pStyle w:val="Heading1"/>
      </w:pPr>
      <w:r>
        <w:t>8. Clinical knowledge governance</w:t>
      </w:r>
    </w:p>
    <w:p>
      <w:r>
        <w:t>Source catalog includes PSYCH folder titles: Kaplan &amp; Sadock Synopsis 12th, Stahl Prescriber’s Guide 2024, Maudsley Prescribing Guidelines 15th, Sims Symptoms in the Mind 7th, Kaufman Clinical Neurology, and resident lectures. Folder indexed by filenames, not yet systematically extracted or validated. Derive original summaries/rules instead of copying book text; confirm primary guidelines, product labels, and applicable forensic statutes before implementing. Every rule requires id, source, review date, clinical author approval, confidence, and test examples. Never place proprietary textbook text in distributable game assets. Clinical engine is a fictional simulator, not patient-care software.</w:t>
      </w:r>
    </w:p>
    <w:p>
      <w:pPr>
        <w:pStyle w:val="Heading1"/>
      </w:pPr>
      <w:r>
        <w:t>9. Interviews and EHR</w:t>
      </w:r>
    </w:p>
    <w:p>
      <w:r>
        <w:t>Cinematic interview shots plus selectable questions; optional free-text classified to authored intents (not unrestricted AI). Clarification and safe fallback response for unmatched input. Clinical EHR tabs: demographics/legal status, chief concern, encounters, meds/MAR, allergies, results, diagnostic reasoning, orders, structured/free-text notes, and audit. Each object has timestamp, provenance, editor, original version, and permissions. Altered data is discoverable through independent audit/evidence, not through unreliable presentation alone.</w:t>
      </w:r>
    </w:p>
    <w:p>
      <w:pPr>
        <w:pStyle w:val="Heading1"/>
      </w:pPr>
      <w:r>
        <w:t>10. Investigations and trust</w:t>
      </w:r>
    </w:p>
    <w:p>
      <w:r>
        <w:t>Physical clues, digital records, audio, testimony, and blueprints are evidence entities with acquisition method, provenance, credibility cues, and links. Players manually connect evidence into hypotheses. Hypothesis validation distinguishes supported, refuted, and unresolved; a contradiction unlocks a question, not necessarily guilt. Redundant lead paths prevent soft locks. Staff trust influences access but never eliminates mandatory patient-care routes.</w:t>
      </w:r>
    </w:p>
    <w:p>
      <w:pPr>
        <w:pStyle w:val="Heading1"/>
      </w:pPr>
      <w:r>
        <w:t>11. Psychosomatic Bleed and accessibility</w:t>
      </w:r>
    </w:p>
    <w:p>
      <w:r>
        <w:t>Horror progression is authored state combined with fatigue/strain modifiers; objective evidence stays in a canonical state independent of effects. Do not silently corrupt critical dosage or lab values. Distortion effects are reversible and never sole source of required truth. Add reduce-motion, no-flash, chromatic-distortion toggle, subtitles, separate ambient/voice/music sliders, text scaling, manual save, and pause in non-urgent sequences. No required audio-only clues; equivalent transcript or corroborating route.</w:t>
      </w:r>
    </w:p>
    <w:p>
      <w:pPr>
        <w:pStyle w:val="Heading1"/>
      </w:pPr>
      <w:r>
        <w:t>12. Opening vertical slice: The Admission</w:t>
      </w:r>
    </w:p>
    <w:p>
      <w:r>
        <w:t>Chapter target 90–120 minutes after full content authoring; delivery in layers. Beat 1: Arrival, badge, orientation with Voss. Beat 2: Nurse Bennett flags 29-year-old Elias Ward—mutism, posturing, poor intake. Beat 3: appropriate catatonia-focused clinical assessment, medical escalation as needed, medication reconciliation, EHR note. Beat 4: second stable patient interview hints at a missing clinician. Beat 5: compare transfer record with historical identifier and staff signature. Beat 6: after-hours intercom announces W0-B; EHR logs a disputed transfer under inactive credential. Branch changes Elias’s location/condition and evidence route; never scripts a transfer that contradicts urgent medical care.</w:t>
      </w:r>
    </w:p>
    <w:p>
      <w:pPr>
        <w:pStyle w:val="Heading1"/>
      </w:pPr>
      <w:r>
        <w:t>13. MVP definition and acceptance criteria</w:t>
      </w:r>
    </w:p>
    <w:p>
      <w:r>
        <w:t>First engineering milestone is a 10–15 minute greybox testable loop, not the complete 90–120 minute chapter. Player moves through office, corridor, interview room; starts conversation; chooses structured or typed recognized question; observes one catatonia-related finding; opens EHR; saves structured note; chooses one clinically meaningful action; receives deterministic state update; finds two clues; manually links them; saves and reloads. Automated tests check JSON schema, event determinism, contradictions, and branch reachability. Exit with no fatal errors on target Mac.</w:t>
      </w:r>
    </w:p>
    <w:p>
      <w:pPr>
        <w:pStyle w:val="Heading1"/>
      </w:pPr>
      <w:r>
        <w:t>14. Production schedule and gates</w:t>
      </w:r>
    </w:p>
    <w:p>
      <w:r>
        <w:t>Gate 0 spec/schema approval; Gate 1 Mac Godot project and navigation; Gate 2 EHR and interview; Gate 3 patient state and clinical rules; Gate 4 evidence board; Gate 5 one shift and branching; Gate 6 cinematics/audio/assets; Gate 7 test and polish. After Gate 5, expand from 10–15 min to 90–120 min by authored content. Every gate requires executable evidence, tests, and a clear rollback path. Version-control non-binary source where possible.</w:t>
      </w:r>
    </w:p>
    <w:p>
      <w:pPr>
        <w:pStyle w:val="Heading1"/>
      </w:pPr>
      <w:r>
        <w:t>15. Technical handoff contract</w:t>
      </w:r>
    </w:p>
    <w:p>
      <w:r>
        <w:t>Godot 4 GDScript; JSON canonical content, parsed and validated at boot; singleton managers EventBus, TimeManager, PatientManager, ClinicalRules, DialogueManager, EvidenceManager, TrustManager, SaveManager. Distinguish immutable authored content from mutable run state. Use versioned saves, stable string identifiers, no global magic flags, deterministic seeded randomness. Renderer selection after profiling the user’s Mac; Forward+ when supported, fallback compatibility where required. Input map includes WASD, mouse-look, interact E, journal Tab, EHR J, pause Esc, accessibility menu. See separate engineer handoff for scene tree, event contracts, schemas, tests and first sprint backlog.</w:t>
      </w:r>
    </w:p>
    <w:p>
      <w:pPr>
        <w:pStyle w:val="Heading1"/>
      </w:pPr>
      <w:r>
        <w:t>16. Risks and guardrails</w:t>
      </w:r>
    </w:p>
    <w:p>
      <w:r>
        <w:t>Primary risks: scope creep, patient simulation complexity, expensive face animation, branching combinatorics, licensing and copyright, clinical safety inaccuracies, unsupported Mac GPU features, performance. Mitigation: vertical slices, modular data, clinical reviews, source license register, explicit performance tiers, authored rather than open-generation patient dialogue, robust accessibility. $0 new software fees excludes time, hardware, assets requiring purchase, and optional AI inference costs; stay with free/open tools and verified licenses.</w:t>
      </w:r>
    </w:p>
    <w:p>
      <w:pPr>
        <w:pStyle w:val="Heading1"/>
      </w:pPr>
      <w:r>
        <w:t>17. Clinical review queue</w:t>
      </w:r>
    </w:p>
    <w:p>
      <w:r>
        <w:t>Priority review of catatonia presentation, differential and medical urgency; structured assessment observations; medication hazards and appropriate escalation; drug data by medication-specific renal/CYP/QTc considerations; forensic competency framework by chosen fictional jurisdiction; documentation and confidentiality; voluntary vs involuntary treatment and informed consent. All numerical medical rules remain pending clinician approval before playable finalization.</w:t>
      </w:r>
    </w:p>
    <w:p>
      <w:pPr>
        <w:pStyle w:val="Heading1"/>
      </w:pPr>
      <w:r>
        <w:t>18. Sources and status</w:t>
      </w:r>
    </w:p>
    <w:p>
      <w:r>
        <w:t>User-provided design decisions from this project. PSYCH folder reference catalog confirmed, content not comprehensively reviewed. Godot renderer and system requirements: https://docs.godotengine.org/en/stable/about/system_requirements.html and https://docs.godotengine.org/en/stable/tutorials/rendering/renderers.html. This is version 0.1: locked design decisions plus proposed implementation details. Patient identifiers, stories, timings, and manager names remain provisional until build review.</w:t>
      </w:r>
    </w:p>
    <w:sectPr w:rsidR="00FC693F" w:rsidRPr="0006063C" w:rsidSect="00034616">
      <w:footerReference w:type="default" r:id="rId9"/>
      <w:pgSz w:w="12240" w:h="15840"/>
      <w:pgMar w:top="1037"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THE FORENSIC WARD  •  INTERNAL DEVELOPMENT  •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64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64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64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