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t>Dear Editor,</w:t>
      </w:r>
    </w:p>
    <w:p>
      <w:pPr>
        <w:pStyle w:val="TextBody"/>
        <w:rPr/>
      </w:pPr>
      <w:r>
        <w:rPr/>
        <w:t>We are pleased to submit our research article, “</w:t>
      </w:r>
      <w:r>
        <w:rPr>
          <w:i/>
          <w:iCs/>
        </w:rPr>
        <w:t>Assessing renewable integration scenarios: a regionalized LEAP-NEMO application for Bolivia’s electricity sector</w:t>
      </w:r>
      <w:r>
        <w:rPr/>
        <w:t xml:space="preserve">”, for consideration for publication in </w:t>
      </w:r>
      <w:r>
        <w:rPr>
          <w:i/>
          <w:iCs/>
        </w:rPr>
        <w:t>Energy for Sustainable Development.</w:t>
      </w:r>
    </w:p>
    <w:p>
      <w:pPr>
        <w:pStyle w:val="TextBody"/>
        <w:rPr/>
      </w:pPr>
      <w:r>
        <w:rPr/>
        <w:t xml:space="preserve">For this study, we built the first regionalized model of Bolivia’s </w:t>
      </w:r>
      <w:r>
        <w:rPr/>
        <w:t xml:space="preserve">energy sector </w:t>
      </w:r>
      <w:r>
        <w:rPr/>
        <w:t xml:space="preserve">using the LEAP and NEMO modeling tools </w:t>
      </w:r>
      <w:r>
        <w:rPr/>
        <w:t>to assess the effects of the diversification of the electricity sector in transmission requirements, thermal fuel consumption, greenhouse gas emissions and energy curtailment</w:t>
      </w:r>
      <w:r>
        <w:rPr/>
        <w:t xml:space="preserve">. We evaluated four scenarios for the period 2023–2050 </w:t>
      </w:r>
      <w:r>
        <w:rPr/>
        <w:t>which</w:t>
      </w:r>
      <w:r>
        <w:rPr/>
        <w:t xml:space="preserve"> combine two centralized renewable expansion pathways with two distributed solar capacity trajectories. We analyzed power demand and supply, fuel savings, emissions, total system costs, regional electricity balances, inter-regional power flows and energy curtailment. We also tested two curtailment mitigation strategies: an intraday, balancing-oriented hydropower dispatch scheme that makes use of the country’s large hydroelectric capacity, and endogenous battery storage. These findings show that the pace of centralized and distributed renewable deployment needs to match demand growth. This is a relevant message for energy planners and policymakers in Bolivia and in other hydropower-dominated systems going through fast renewable expansion.</w:t>
      </w:r>
    </w:p>
    <w:p>
      <w:pPr>
        <w:pStyle w:val="TextBody"/>
        <w:rPr/>
      </w:pPr>
      <w:r>
        <w:rPr/>
        <w:t>We confirm that this manuscript is original, has not been published elsewhere and is not under consideration by any other journal. All authors have approved the manuscript and agree with its submission. This study was funded by the International Development Research Centre (IDRC), Canada.</w:t>
      </w:r>
    </w:p>
    <w:p>
      <w:pPr>
        <w:pStyle w:val="TextBody"/>
        <w:rPr/>
      </w:pPr>
      <w:r>
        <w:rPr/>
        <w:t>Looking forward to your response.</w:t>
      </w:r>
    </w:p>
    <w:p>
      <w:pPr>
        <w:pStyle w:val="TextBody"/>
        <w:rPr/>
      </w:pPr>
      <w:r>
        <w:rPr/>
        <w:t>Yours sincerely,</w:t>
      </w:r>
    </w:p>
    <w:p>
      <w:pPr>
        <w:pStyle w:val="TextBody"/>
        <w:rPr/>
      </w:pPr>
      <w:r>
        <w:rPr/>
        <w:t>Emilio Bianchi</w:t>
      </w:r>
      <w:r>
        <w:rPr>
          <w:vertAlign w:val="superscript"/>
        </w:rPr>
        <w:t>1,2</w:t>
      </w:r>
      <w:r>
        <w:rPr>
          <w:vertAlign w:val="superscript"/>
        </w:rPr>
        <w:t xml:space="preserve"> </w:t>
      </w:r>
      <w:r>
        <w:rPr/>
        <w:t>(corresponding author), on behalf of all co-authors:</w:t>
        <w:br/>
        <w:t>Gonzalo Bravo</w:t>
      </w:r>
      <w:r>
        <w:rPr>
          <w:vertAlign w:val="superscript"/>
        </w:rPr>
        <w:t>3</w:t>
      </w:r>
      <w:r>
        <w:rPr/>
        <w:t>, Francisco Lallana</w:t>
      </w:r>
      <w:r>
        <w:rPr>
          <w:vertAlign w:val="superscript"/>
        </w:rPr>
        <w:t>3</w:t>
      </w:r>
      <w:r>
        <w:rPr/>
        <w:t>, Gustavo Nadal</w:t>
      </w:r>
      <w:r>
        <w:rPr>
          <w:vertAlign w:val="superscript"/>
        </w:rPr>
        <w:t>3</w:t>
      </w:r>
      <w:r>
        <w:rPr/>
        <w:t xml:space="preserve"> </w:t>
      </w:r>
      <w:r>
        <w:rPr/>
        <w:t>and Ignacio Sagardoy</w:t>
      </w:r>
      <w:r>
        <w:rPr>
          <w:vertAlign w:val="superscript"/>
        </w:rPr>
        <w:t>3</w:t>
      </w:r>
    </w:p>
    <w:p>
      <w:pPr>
        <w:pStyle w:val="TextBody"/>
        <w:spacing w:before="180" w:after="180"/>
        <w:rPr/>
      </w:pPr>
      <w:r>
        <w:rPr>
          <w:vertAlign w:val="superscript"/>
        </w:rPr>
        <w:t>1</w:t>
      </w:r>
      <w:r>
        <w:rPr/>
        <w:t>Consejo Nacional de Investigaciones Científicas y Técnicas (CONICET), Argentina</w:t>
        <w:br/>
      </w:r>
      <w:r>
        <w:rPr>
          <w:vertAlign w:val="superscript"/>
        </w:rPr>
        <w:t>2</w:t>
      </w:r>
      <w:r>
        <w:rPr/>
        <w:t>Universidad Nacional de Río Negro, Argentina</w:t>
        <w:br/>
      </w:r>
      <w:r>
        <w:rPr>
          <w:vertAlign w:val="superscript"/>
        </w:rPr>
        <w:t>3</w:t>
      </w:r>
      <w:r>
        <w:rPr/>
        <w:t>Fundación Bariloche, Argentina</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9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uiPriority w:val="9"/>
    <w:qFormat/>
    <w:pPr>
      <w:keepNext w:val="true"/>
      <w:keepLines/>
      <w:spacing w:before="480" w:after="0"/>
      <w:outlineLvl w:val="0"/>
    </w:pPr>
    <w:rPr>
      <w:rFonts w:ascii="Calibri" w:hAnsi="Calibri" w:eastAsia="" w:cs="" w:asciiTheme="majorHAnsi" w:cstheme="majorBidi" w:eastAsiaTheme="majorEastAsia" w:hAnsiTheme="majorHAnsi"/>
      <w:b/>
      <w:bCs/>
      <w:color w:val="4F81BD" w:themeColor="accent1"/>
      <w:sz w:val="32"/>
      <w:szCs w:val="32"/>
    </w:rPr>
  </w:style>
  <w:style w:type="paragraph" w:styleId="Heading2">
    <w:name w:val="Heading 2"/>
    <w:basedOn w:val="Normal"/>
    <w:next w:val="TextBody"/>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8"/>
      <w:szCs w:val="28"/>
    </w:rPr>
  </w:style>
  <w:style w:type="paragraph" w:styleId="Heading3">
    <w:name w:val="Heading 3"/>
    <w:basedOn w:val="Normal"/>
    <w:next w:val="TextBody"/>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sz w:val="24"/>
      <w:szCs w:val="24"/>
    </w:rPr>
  </w:style>
  <w:style w:type="paragraph" w:styleId="Heading4">
    <w:name w:val="Heading 4"/>
    <w:basedOn w:val="Normal"/>
    <w:next w:val="TextBody"/>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val="4F81BD" w:themeColor="accent1"/>
      <w:sz w:val="24"/>
      <w:szCs w:val="24"/>
    </w:rPr>
  </w:style>
  <w:style w:type="paragraph" w:styleId="Heading5">
    <w:name w:val="Heading 5"/>
    <w:basedOn w:val="Normal"/>
    <w:next w:val="TextBody"/>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val="4F81BD" w:themeColor="accent1"/>
      <w:sz w:val="24"/>
      <w:szCs w:val="24"/>
    </w:rPr>
  </w:style>
  <w:style w:type="paragraph" w:styleId="Heading6">
    <w:name w:val="Heading 6"/>
    <w:basedOn w:val="Normal"/>
    <w:next w:val="TextBody"/>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sz w:val="24"/>
      <w:szCs w:val="24"/>
    </w:rPr>
  </w:style>
  <w:style w:type="paragraph" w:styleId="Heading7">
    <w:name w:val="Heading 7"/>
    <w:basedOn w:val="Normal"/>
    <w:next w:val="TextBody"/>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sz w:val="24"/>
      <w:szCs w:val="24"/>
    </w:rPr>
  </w:style>
  <w:style w:type="paragraph" w:styleId="Heading8">
    <w:name w:val="Heading 8"/>
    <w:basedOn w:val="Normal"/>
    <w:next w:val="TextBody"/>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sz w:val="24"/>
      <w:szCs w:val="24"/>
    </w:rPr>
  </w:style>
  <w:style w:type="paragraph" w:styleId="Heading9">
    <w:name w:val="Heading 9"/>
    <w:basedOn w:val="Normal"/>
    <w:next w:val="TextBody"/>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qFormat/>
    <w:pPr>
      <w:keepNext w:val="true"/>
      <w:keepLines/>
      <w:spacing w:before="480" w:after="240"/>
      <w:jc w:val="center"/>
    </w:pPr>
    <w:rPr>
      <w:rFonts w:ascii="Calibri" w:hAnsi="Calibri" w:eastAsia="" w:cs="" w:asciiTheme="majorHAnsi" w:cstheme="majorBidi" w:eastAsiaTheme="majorEastAsia" w:hAnsiTheme="majorHAnsi"/>
      <w:b/>
      <w:bCs/>
      <w:color w:val="345A8A" w:themeColor="accent1" w:themeShade="b5"/>
      <w:sz w:val="36"/>
      <w:szCs w:val="36"/>
    </w:rPr>
  </w:style>
  <w:style w:type="paragraph" w:styleId="Subtitle">
    <w:name w:val="Subtitle"/>
    <w:basedOn w:val="Title"/>
    <w:next w:val="TextBody"/>
    <w:qFormat/>
    <w:pPr>
      <w:keepNext w:val="true"/>
      <w:keepLines/>
      <w:spacing w:before="240" w:after="240"/>
      <w:jc w:val="center"/>
    </w:pPr>
    <w:rPr>
      <w:sz w:val="30"/>
      <w:szCs w:val="30"/>
    </w:rPr>
  </w:style>
  <w:style w:type="paragraph" w:styleId="Author" w:customStyle="1">
    <w:name w:val="Author"/>
    <w:next w:val="TextBody"/>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TextBody"/>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LibreOffice/7.3.7.2$Linux_X86_64 LibreOffice_project/30$Build-2</Application>
  <AppVersion>15.0000</AppVersion>
  <Pages>1</Pages>
  <Words>269</Words>
  <Characters>1727</Characters>
  <CharactersWithSpaces>1987</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2026-09-25T17:35:13Z</dcterms:created>
  <dc:creator/>
  <dc:description/>
  <dc:language>es-AR</dc:language>
  <cp:lastModifiedBy/>
  <dcterms:modified xsi:type="dcterms:W3CDTF">2026-09-25T14:45:42Z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