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364"/>
          <w:sz w:val="48"/>
        </w:rPr>
        <w:t>Tender Response</w:t>
      </w:r>
    </w:p>
    <w:p>
      <w:pPr>
        <w:jc w:val="center"/>
      </w:pPr>
      <w:r>
        <w:rPr>
          <w:b w:val="0"/>
          <w:color w:val="1F3364"/>
          <w:sz w:val="32"/>
        </w:rPr>
        <w:t>Competitive Dialogue – Stage 2</w:t>
      </w:r>
    </w:p>
    <w:p>
      <w:pPr>
        <w:jc w:val="center"/>
      </w:pPr>
      <w:r>
        <w:rPr>
          <w:b w:val="0"/>
          <w:color w:val="1F3364"/>
          <w:sz w:val="12"/>
        </w:rPr>
      </w:r>
    </w:p>
    <w:p>
      <w:pPr>
        <w:jc w:val="center"/>
      </w:pPr>
      <w:r>
        <w:rPr>
          <w:b w:val="0"/>
          <w:color w:val="1F3364"/>
          <w:sz w:val="30"/>
        </w:rPr>
        <w:t>Refresh of AV equipment throughout SOLAS</w:t>
      </w:r>
    </w:p>
    <w:p>
      <w:pPr>
        <w:jc w:val="center"/>
      </w:pPr>
      <w:r>
        <w:rPr>
          <w:b w:val="0"/>
          <w:color w:val="1F3364"/>
          <w:sz w:val="30"/>
        </w:rPr>
        <w:t>at Castleforbes House, D01 A8N0</w:t>
      </w:r>
    </w:p>
    <w:p>
      <w:pPr>
        <w:jc w:val="center"/>
      </w:pPr>
      <w:r>
        <w:rPr>
          <w:b w:val="0"/>
          <w:color w:val="1F3364"/>
          <w:sz w:val="12"/>
        </w:rPr>
      </w:r>
    </w:p>
    <w:p>
      <w:pPr>
        <w:jc w:val="center"/>
      </w:pPr>
      <w:r>
        <w:rPr>
          <w:b w:val="0"/>
          <w:color w:val="1F3364"/>
          <w:sz w:val="24"/>
        </w:rPr>
        <w:t>eTenders ID 7449225</w:t>
      </w:r>
    </w:p>
    <w:p>
      <w:pPr>
        <w:jc w:val="center"/>
      </w:pPr>
      <w:r>
        <w:rPr>
          <w:i/>
          <w:color w:val="C00000"/>
          <w:sz w:val="24"/>
        </w:rPr>
        <w:t>Submitted by: [Company Name]</w:t>
      </w:r>
    </w:p>
    <w:p>
      <w:r>
        <w:br w:type="page"/>
      </w:r>
    </w:p>
    <w:p>
      <w:r>
        <w:rPr>
          <w:i/>
          <w:color w:val="606060"/>
          <w:sz w:val="20"/>
        </w:rPr>
        <w:t>This response addresses Award Criterion 1 (Project Approach) and Award Criterion 3 (Proposed Team and Contract Management) as set out in Section 2.5 of the Descriptive Document. Award Criterion 2 (Proposed Solution) and Award Criterion 4 (Cost) are provided separately.</w:t>
      </w:r>
    </w:p>
    <w:p>
      <w:pPr>
        <w:pStyle w:val="Heading1"/>
      </w:pPr>
      <w:r>
        <w:t>1.  Project Approach</w:t>
      </w:r>
    </w:p>
    <w:p>
      <w:r>
        <w:t>[Company Name] understands that SOLAS requires a standardised, user-friendly and accessible audio-visual solution to be delivered across the meeting rooms, event spaces and communal areas of Castleforbes House with minimal disruption to a live, occupied office environment. Our project approach is built around four principles: standardisation across all rooms, seamless integration with the existing Microsoft 365 / Microsoft Teams and Clearooms environment, accessibility for all users, and a phased delivery that protects day-to-day SOLAS operations.</w:t>
      </w:r>
    </w:p>
    <w:p>
      <w:pPr>
        <w:pStyle w:val="Heading2"/>
      </w:pPr>
      <w:r>
        <w:t>1.1  Project Approach and Methodology</w:t>
      </w:r>
    </w:p>
    <w:p>
      <w:r>
        <w:t>We will deliver this project using a structured, stage-gated methodology. Each stage concludes with a formal sign-off with the SOLAS Evaluation / project team before the next stage begins, ensuring control, transparency and quality at every step:</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364"/>
          </w:tcPr>
          <w:p>
            <w:r/>
            <w:r>
              <w:rPr>
                <w:b/>
                <w:color w:val="FFFFFF"/>
                <w:sz w:val="21"/>
              </w:rPr>
              <w:t>Stage</w:t>
            </w:r>
          </w:p>
        </w:tc>
        <w:tc>
          <w:tcPr>
            <w:tcW w:type="dxa" w:w="5040"/>
            <w:shd w:val="clear" w:fill="1F3364"/>
          </w:tcPr>
          <w:p>
            <w:r/>
            <w:r>
              <w:rPr>
                <w:b/>
                <w:color w:val="FFFFFF"/>
                <w:sz w:val="21"/>
              </w:rPr>
              <w:t>Activities</w:t>
            </w:r>
          </w:p>
        </w:tc>
        <w:tc>
          <w:tcPr>
            <w:tcW w:type="dxa" w:w="1872"/>
            <w:shd w:val="clear" w:fill="1F3364"/>
          </w:tcPr>
          <w:p>
            <w:r/>
            <w:r>
              <w:rPr>
                <w:b/>
                <w:color w:val="FFFFFF"/>
                <w:sz w:val="21"/>
              </w:rPr>
              <w:t>Outcome</w:t>
            </w:r>
          </w:p>
        </w:tc>
      </w:tr>
      <w:tr>
        <w:tc>
          <w:tcPr>
            <w:tcW w:type="dxa" w:w="2448"/>
          </w:tcPr>
          <w:p>
            <w:r/>
            <w:r>
              <w:rPr>
                <w:b w:val="0"/>
                <w:sz w:val="21"/>
              </w:rPr>
              <w:t>1. Discovery &amp; Detailed Design</w:t>
            </w:r>
          </w:p>
        </w:tc>
        <w:tc>
          <w:tcPr>
            <w:tcW w:type="dxa" w:w="5040"/>
          </w:tcPr>
          <w:p>
            <w:r/>
            <w:r>
              <w:rPr>
                <w:b w:val="0"/>
                <w:sz w:val="21"/>
              </w:rPr>
              <w:t>Site survey building on the 18 May site visit; confirm room types, sizes and constraints; validate integration points with Microsoft 365/Teams and Clearooms; agree the standard room ‘templates’.</w:t>
            </w:r>
          </w:p>
        </w:tc>
        <w:tc>
          <w:tcPr>
            <w:tcW w:type="dxa" w:w="1872"/>
          </w:tcPr>
          <w:p>
            <w:r/>
            <w:r>
              <w:rPr>
                <w:b w:val="0"/>
                <w:sz w:val="21"/>
              </w:rPr>
              <w:t>Approved detailed design and room schedule.</w:t>
            </w:r>
          </w:p>
        </w:tc>
      </w:tr>
      <w:tr>
        <w:tc>
          <w:tcPr>
            <w:tcW w:type="dxa" w:w="2448"/>
          </w:tcPr>
          <w:p>
            <w:r/>
            <w:r>
              <w:rPr>
                <w:b w:val="0"/>
                <w:sz w:val="21"/>
              </w:rPr>
              <w:t>2. Procurement &amp; Staging</w:t>
            </w:r>
          </w:p>
        </w:tc>
        <w:tc>
          <w:tcPr>
            <w:tcW w:type="dxa" w:w="5040"/>
          </w:tcPr>
          <w:p>
            <w:r/>
            <w:r>
              <w:rPr>
                <w:b w:val="0"/>
                <w:sz w:val="21"/>
              </w:rPr>
              <w:t>Order equipment; pre-configure and stage hardware off-site; quality check and asset-tag; prepare standardised build images.</w:t>
            </w:r>
          </w:p>
        </w:tc>
        <w:tc>
          <w:tcPr>
            <w:tcW w:type="dxa" w:w="1872"/>
          </w:tcPr>
          <w:p>
            <w:r/>
            <w:r>
              <w:rPr>
                <w:b w:val="0"/>
                <w:sz w:val="21"/>
              </w:rPr>
              <w:t>Equipment staged and pre-tested.</w:t>
            </w:r>
          </w:p>
        </w:tc>
      </w:tr>
      <w:tr>
        <w:tc>
          <w:tcPr>
            <w:tcW w:type="dxa" w:w="2448"/>
          </w:tcPr>
          <w:p>
            <w:r/>
            <w:r>
              <w:rPr>
                <w:b w:val="0"/>
                <w:sz w:val="21"/>
              </w:rPr>
              <w:t>3. Installation &amp; Integration</w:t>
            </w:r>
          </w:p>
        </w:tc>
        <w:tc>
          <w:tcPr>
            <w:tcW w:type="dxa" w:w="5040"/>
          </w:tcPr>
          <w:p>
            <w:r/>
            <w:r>
              <w:rPr>
                <w:b w:val="0"/>
                <w:sz w:val="21"/>
              </w:rPr>
              <w:t>Phased, floor-by-floor installation scheduled around SOLAS occupancy; cabling, mounting, integration with the network and Teams; room booking panel integration with Clearooms.</w:t>
            </w:r>
          </w:p>
        </w:tc>
        <w:tc>
          <w:tcPr>
            <w:tcW w:type="dxa" w:w="1872"/>
          </w:tcPr>
          <w:p>
            <w:r/>
            <w:r>
              <w:rPr>
                <w:b w:val="0"/>
                <w:sz w:val="21"/>
              </w:rPr>
              <w:t>Rooms installed and integrated.</w:t>
            </w:r>
          </w:p>
        </w:tc>
      </w:tr>
      <w:tr>
        <w:tc>
          <w:tcPr>
            <w:tcW w:type="dxa" w:w="2448"/>
          </w:tcPr>
          <w:p>
            <w:r/>
            <w:r>
              <w:rPr>
                <w:b w:val="0"/>
                <w:sz w:val="21"/>
              </w:rPr>
              <w:t>4. Testing &amp; Commissioning</w:t>
            </w:r>
          </w:p>
        </w:tc>
        <w:tc>
          <w:tcPr>
            <w:tcW w:type="dxa" w:w="5040"/>
          </w:tcPr>
          <w:p>
            <w:r/>
            <w:r>
              <w:rPr>
                <w:b w:val="0"/>
                <w:sz w:val="21"/>
              </w:rPr>
              <w:t>Functional and acceptance testing of every room against the agreed standard; accessibility checks; Teams call quality verification.</w:t>
            </w:r>
          </w:p>
        </w:tc>
        <w:tc>
          <w:tcPr>
            <w:tcW w:type="dxa" w:w="1872"/>
          </w:tcPr>
          <w:p>
            <w:r/>
            <w:r>
              <w:rPr>
                <w:b w:val="0"/>
                <w:sz w:val="21"/>
              </w:rPr>
              <w:t>Signed-off commissioning certificates.</w:t>
            </w:r>
          </w:p>
        </w:tc>
      </w:tr>
      <w:tr>
        <w:tc>
          <w:tcPr>
            <w:tcW w:type="dxa" w:w="2448"/>
          </w:tcPr>
          <w:p>
            <w:r/>
            <w:r>
              <w:rPr>
                <w:b w:val="0"/>
                <w:sz w:val="21"/>
              </w:rPr>
              <w:t>5. Training &amp; Handover</w:t>
            </w:r>
          </w:p>
        </w:tc>
        <w:tc>
          <w:tcPr>
            <w:tcW w:type="dxa" w:w="5040"/>
          </w:tcPr>
          <w:p>
            <w:r/>
            <w:r>
              <w:rPr>
                <w:b w:val="0"/>
                <w:sz w:val="21"/>
              </w:rPr>
              <w:t>End-user ‘floor-walking’ and key-user training; admin/IT handover; as-built documentation and user guides.</w:t>
            </w:r>
          </w:p>
        </w:tc>
        <w:tc>
          <w:tcPr>
            <w:tcW w:type="dxa" w:w="1872"/>
          </w:tcPr>
          <w:p>
            <w:r/>
            <w:r>
              <w:rPr>
                <w:b w:val="0"/>
                <w:sz w:val="21"/>
              </w:rPr>
              <w:t>Trained users and complete documentation.</w:t>
            </w:r>
          </w:p>
        </w:tc>
      </w:tr>
      <w:tr>
        <w:tc>
          <w:tcPr>
            <w:tcW w:type="dxa" w:w="2448"/>
          </w:tcPr>
          <w:p>
            <w:r/>
            <w:r>
              <w:rPr>
                <w:b w:val="0"/>
                <w:sz w:val="21"/>
              </w:rPr>
              <w:t>6. Support &amp; Aftercare</w:t>
            </w:r>
          </w:p>
        </w:tc>
        <w:tc>
          <w:tcPr>
            <w:tcW w:type="dxa" w:w="5040"/>
          </w:tcPr>
          <w:p>
            <w:r/>
            <w:r>
              <w:rPr>
                <w:b w:val="0"/>
                <w:sz w:val="21"/>
              </w:rPr>
              <w:t>Transition into the support and maintenance regime (see Section 3).</w:t>
            </w:r>
          </w:p>
        </w:tc>
        <w:tc>
          <w:tcPr>
            <w:tcW w:type="dxa" w:w="1872"/>
          </w:tcPr>
          <w:p>
            <w:r/>
            <w:r>
              <w:rPr>
                <w:b w:val="0"/>
                <w:sz w:val="21"/>
              </w:rPr>
              <w:t>Operational service with agreed SLAs.</w:t>
            </w:r>
          </w:p>
        </w:tc>
      </w:tr>
    </w:tbl>
    <w:p>
      <w:r>
        <w:t>Standardisation is central to our approach: by deploying a consistent hardware platform and a single, intuitive user interface across every room type, we reduce the learning curve for SOLAS staff, simplify support and maintenance, and ensure a predictable experience whether a user is in a 6-person meeting room or the 150-person event space.</w:t>
      </w:r>
    </w:p>
    <w:p>
      <w:pPr>
        <w:pStyle w:val="Heading2"/>
      </w:pPr>
      <w:r>
        <w:t>1.2  Proposed Timeframe</w:t>
      </w:r>
    </w:p>
    <w:p>
      <w:r>
        <w:t>The indicative programme below assumes contract award following the tender process set out in the Descriptive Document. Durations are working weeks from contract award and will be confirmed and baselined at project initiation.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F3364"/>
          </w:tcPr>
          <w:p>
            <w:r/>
            <w:r>
              <w:rPr>
                <w:b/>
                <w:color w:val="FFFFFF"/>
                <w:sz w:val="21"/>
              </w:rPr>
              <w:t>Stage</w:t>
            </w:r>
          </w:p>
        </w:tc>
        <w:tc>
          <w:tcPr>
            <w:tcW w:type="dxa" w:w="2304"/>
            <w:shd w:val="clear" w:fill="1F3364"/>
          </w:tcPr>
          <w:p>
            <w:r/>
            <w:r>
              <w:rPr>
                <w:b/>
                <w:color w:val="FFFFFF"/>
                <w:sz w:val="21"/>
              </w:rPr>
              <w:t>Indicative Duration</w:t>
            </w:r>
          </w:p>
        </w:tc>
        <w:tc>
          <w:tcPr>
            <w:tcW w:type="dxa" w:w="3312"/>
            <w:shd w:val="clear" w:fill="1F3364"/>
          </w:tcPr>
          <w:p>
            <w:r/>
            <w:r>
              <w:rPr>
                <w:b/>
                <w:color w:val="FFFFFF"/>
                <w:sz w:val="21"/>
              </w:rPr>
              <w:t>Notes</w:t>
            </w:r>
          </w:p>
        </w:tc>
      </w:tr>
      <w:tr>
        <w:tc>
          <w:tcPr>
            <w:tcW w:type="dxa" w:w="3744"/>
          </w:tcPr>
          <w:p>
            <w:r/>
            <w:r>
              <w:rPr>
                <w:b w:val="0"/>
                <w:sz w:val="21"/>
              </w:rPr>
              <w:t>Project initiation &amp; mobilisation</w:t>
            </w:r>
          </w:p>
        </w:tc>
        <w:tc>
          <w:tcPr>
            <w:tcW w:type="dxa" w:w="2304"/>
          </w:tcPr>
          <w:p>
            <w:r/>
            <w:r>
              <w:rPr>
                <w:b w:val="0"/>
                <w:sz w:val="21"/>
              </w:rPr>
              <w:t>Week 1</w:t>
            </w:r>
          </w:p>
        </w:tc>
        <w:tc>
          <w:tcPr>
            <w:tcW w:type="dxa" w:w="3312"/>
          </w:tcPr>
          <w:p>
            <w:r/>
            <w:r>
              <w:rPr>
                <w:b w:val="0"/>
                <w:sz w:val="21"/>
              </w:rPr>
              <w:t>Kick-off, governance set-up, baseline plan.</w:t>
            </w:r>
          </w:p>
        </w:tc>
      </w:tr>
      <w:tr>
        <w:tc>
          <w:tcPr>
            <w:tcW w:type="dxa" w:w="3744"/>
          </w:tcPr>
          <w:p>
            <w:r/>
            <w:r>
              <w:rPr>
                <w:b w:val="0"/>
                <w:sz w:val="21"/>
              </w:rPr>
              <w:t>Discovery &amp; detailed design</w:t>
            </w:r>
          </w:p>
        </w:tc>
        <w:tc>
          <w:tcPr>
            <w:tcW w:type="dxa" w:w="2304"/>
          </w:tcPr>
          <w:p>
            <w:r/>
            <w:r>
              <w:rPr>
                <w:b w:val="0"/>
                <w:sz w:val="21"/>
              </w:rPr>
              <w:t>Weeks 1–3</w:t>
            </w:r>
          </w:p>
        </w:tc>
        <w:tc>
          <w:tcPr>
            <w:tcW w:type="dxa" w:w="3312"/>
          </w:tcPr>
          <w:p>
            <w:r/>
            <w:r>
              <w:rPr>
                <w:b w:val="0"/>
                <w:sz w:val="21"/>
              </w:rPr>
              <w:t>Final survey and design sign-off.</w:t>
            </w:r>
          </w:p>
        </w:tc>
      </w:tr>
      <w:tr>
        <w:tc>
          <w:tcPr>
            <w:tcW w:type="dxa" w:w="3744"/>
          </w:tcPr>
          <w:p>
            <w:r/>
            <w:r>
              <w:rPr>
                <w:b w:val="0"/>
                <w:sz w:val="21"/>
              </w:rPr>
              <w:t>Procurement &amp; staging</w:t>
            </w:r>
          </w:p>
        </w:tc>
        <w:tc>
          <w:tcPr>
            <w:tcW w:type="dxa" w:w="2304"/>
          </w:tcPr>
          <w:p>
            <w:r/>
            <w:r>
              <w:rPr>
                <w:b w:val="0"/>
                <w:sz w:val="21"/>
              </w:rPr>
              <w:t>Weeks 3–7</w:t>
            </w:r>
          </w:p>
        </w:tc>
        <w:tc>
          <w:tcPr>
            <w:tcW w:type="dxa" w:w="3312"/>
          </w:tcPr>
          <w:p>
            <w:r/>
            <w:r>
              <w:rPr>
                <w:b w:val="0"/>
                <w:sz w:val="21"/>
              </w:rPr>
              <w:t>Subject to equipment lead times.</w:t>
            </w:r>
          </w:p>
        </w:tc>
      </w:tr>
      <w:tr>
        <w:tc>
          <w:tcPr>
            <w:tcW w:type="dxa" w:w="3744"/>
          </w:tcPr>
          <w:p>
            <w:r/>
            <w:r>
              <w:rPr>
                <w:b w:val="0"/>
                <w:sz w:val="21"/>
              </w:rPr>
              <w:t>Installation &amp; integration (phased)</w:t>
            </w:r>
          </w:p>
        </w:tc>
        <w:tc>
          <w:tcPr>
            <w:tcW w:type="dxa" w:w="2304"/>
          </w:tcPr>
          <w:p>
            <w:r/>
            <w:r>
              <w:rPr>
                <w:b w:val="0"/>
                <w:sz w:val="21"/>
              </w:rPr>
              <w:t>Weeks 6–12</w:t>
            </w:r>
          </w:p>
        </w:tc>
        <w:tc>
          <w:tcPr>
            <w:tcW w:type="dxa" w:w="3312"/>
          </w:tcPr>
          <w:p>
            <w:r/>
            <w:r>
              <w:rPr>
                <w:b w:val="0"/>
                <w:sz w:val="21"/>
              </w:rPr>
              <w:t>Floor-by-floor, around occupancy.</w:t>
            </w:r>
          </w:p>
        </w:tc>
      </w:tr>
      <w:tr>
        <w:tc>
          <w:tcPr>
            <w:tcW w:type="dxa" w:w="3744"/>
          </w:tcPr>
          <w:p>
            <w:r/>
            <w:r>
              <w:rPr>
                <w:b w:val="0"/>
                <w:sz w:val="21"/>
              </w:rPr>
              <w:t>Testing &amp; commissioning</w:t>
            </w:r>
          </w:p>
        </w:tc>
        <w:tc>
          <w:tcPr>
            <w:tcW w:type="dxa" w:w="2304"/>
          </w:tcPr>
          <w:p>
            <w:r/>
            <w:r>
              <w:rPr>
                <w:b w:val="0"/>
                <w:sz w:val="21"/>
              </w:rPr>
              <w:t>Weeks 10–13</w:t>
            </w:r>
          </w:p>
        </w:tc>
        <w:tc>
          <w:tcPr>
            <w:tcW w:type="dxa" w:w="3312"/>
          </w:tcPr>
          <w:p>
            <w:r/>
            <w:r>
              <w:rPr>
                <w:b w:val="0"/>
                <w:sz w:val="21"/>
              </w:rPr>
              <w:t>Room-by-room acceptance.</w:t>
            </w:r>
          </w:p>
        </w:tc>
      </w:tr>
      <w:tr>
        <w:tc>
          <w:tcPr>
            <w:tcW w:type="dxa" w:w="3744"/>
          </w:tcPr>
          <w:p>
            <w:r/>
            <w:r>
              <w:rPr>
                <w:b w:val="0"/>
                <w:sz w:val="21"/>
              </w:rPr>
              <w:t>Training &amp; handover</w:t>
            </w:r>
          </w:p>
        </w:tc>
        <w:tc>
          <w:tcPr>
            <w:tcW w:type="dxa" w:w="2304"/>
          </w:tcPr>
          <w:p>
            <w:r/>
            <w:r>
              <w:rPr>
                <w:b w:val="0"/>
                <w:sz w:val="21"/>
              </w:rPr>
              <w:t>Weeks 12–14</w:t>
            </w:r>
          </w:p>
        </w:tc>
        <w:tc>
          <w:tcPr>
            <w:tcW w:type="dxa" w:w="3312"/>
          </w:tcPr>
          <w:p>
            <w:r/>
            <w:r>
              <w:rPr>
                <w:b w:val="0"/>
                <w:sz w:val="21"/>
              </w:rPr>
              <w:t>User and admin training.</w:t>
            </w:r>
          </w:p>
        </w:tc>
      </w:tr>
      <w:tr>
        <w:tc>
          <w:tcPr>
            <w:tcW w:type="dxa" w:w="3744"/>
          </w:tcPr>
          <w:p>
            <w:r/>
            <w:r>
              <w:rPr>
                <w:b w:val="0"/>
                <w:sz w:val="21"/>
              </w:rPr>
              <w:t>Go-live &amp; early-life support</w:t>
            </w:r>
          </w:p>
        </w:tc>
        <w:tc>
          <w:tcPr>
            <w:tcW w:type="dxa" w:w="2304"/>
          </w:tcPr>
          <w:p>
            <w:r/>
            <w:r>
              <w:rPr>
                <w:b w:val="0"/>
                <w:sz w:val="21"/>
              </w:rPr>
              <w:t>Week 14 onward</w:t>
            </w:r>
          </w:p>
        </w:tc>
        <w:tc>
          <w:tcPr>
            <w:tcW w:type="dxa" w:w="3312"/>
          </w:tcPr>
          <w:p>
            <w:r/>
            <w:r>
              <w:rPr>
                <w:b w:val="0"/>
                <w:sz w:val="21"/>
              </w:rPr>
              <w:t>Hypercare period.</w:t>
            </w:r>
          </w:p>
        </w:tc>
      </w:tr>
    </w:tbl>
    <w:p>
      <w:r>
        <w:rPr>
          <w:i/>
          <w:color w:val="C00000"/>
        </w:rPr>
        <w:t>[Confirm/adjust durations to match your standard delivery programme and known equipment lead times. Insert a Gantt chart here if your TCD response included one.]</w:t>
      </w:r>
    </w:p>
    <w:p>
      <w:pPr>
        <w:pStyle w:val="Heading2"/>
      </w:pPr>
      <w:r>
        <w:t>1.3  Project Plan</w:t>
      </w:r>
    </w:p>
    <w:p>
      <w:r>
        <w:t>The project will be governed by a detailed project plan owned by our appointed Project Manager and maintained throughout delivery. The plan covers:</w:t>
      </w:r>
    </w:p>
    <w:p>
      <w:pPr>
        <w:pStyle w:val="ListBullet"/>
      </w:pPr>
      <w:r>
        <w:t>A baselined schedule of tasks, milestones, dependencies and critical path.</w:t>
      </w:r>
    </w:p>
    <w:p>
      <w:pPr>
        <w:pStyle w:val="ListBullet"/>
      </w:pPr>
      <w:r>
        <w:t>Clear governance with defined roles and a RACI matrix for SOLAS and [Company Name] (see Section 3).</w:t>
      </w:r>
    </w:p>
    <w:p>
      <w:pPr>
        <w:pStyle w:val="ListBullet"/>
      </w:pPr>
      <w:r>
        <w:t>A communications and reporting plan, including regular progress meetings and written status reports to the SOLAS project lead.</w:t>
      </w:r>
    </w:p>
    <w:p>
      <w:pPr>
        <w:pStyle w:val="ListBullet"/>
      </w:pPr>
      <w:r>
        <w:t>Phasing designed around SOLAS occupancy of floors 2–5 (and any subsequent ground/1st floor scope) to minimise disruption to live meetings and events.</w:t>
      </w:r>
    </w:p>
    <w:p>
      <w:pPr>
        <w:pStyle w:val="ListBullet"/>
      </w:pPr>
      <w:r>
        <w:t>Change control, issue management and a maintained risk register (see 1.4).</w:t>
      </w:r>
    </w:p>
    <w:p>
      <w:pPr>
        <w:pStyle w:val="ListBullet"/>
      </w:pPr>
      <w:r>
        <w:t>Quality management, including room-by-room acceptance testing and formal sign-off gates.</w:t>
      </w:r>
    </w:p>
    <w:tbl>
      <w:tblPr>
        <w:tblStyle w:val="TableGrid"/>
        <w:tblW w:type="auto" w:w="0"/>
        <w:jc w:val="center"/>
        <w:tblLook w:firstColumn="1" w:firstRow="1" w:lastColumn="0" w:lastRow="0" w:noHBand="0" w:noVBand="1" w:val="04A0"/>
      </w:tblPr>
      <w:tblGrid>
        <w:gridCol w:w="4320"/>
        <w:gridCol w:w="4320"/>
      </w:tblGrid>
      <w:tr>
        <w:tc>
          <w:tcPr>
            <w:tcW w:type="dxa" w:w="3456"/>
            <w:shd w:val="clear" w:fill="1F3364"/>
          </w:tcPr>
          <w:p>
            <w:r/>
            <w:r>
              <w:rPr>
                <w:b/>
                <w:color w:val="FFFFFF"/>
                <w:sz w:val="21"/>
              </w:rPr>
              <w:t>Key Milestone</w:t>
            </w:r>
          </w:p>
        </w:tc>
        <w:tc>
          <w:tcPr>
            <w:tcW w:type="dxa" w:w="5904"/>
            <w:shd w:val="clear" w:fill="1F3364"/>
          </w:tcPr>
          <w:p>
            <w:r/>
            <w:r>
              <w:rPr>
                <w:b/>
                <w:color w:val="FFFFFF"/>
                <w:sz w:val="21"/>
              </w:rPr>
              <w:t>Acceptance Criteria</w:t>
            </w:r>
          </w:p>
        </w:tc>
      </w:tr>
      <w:tr>
        <w:tc>
          <w:tcPr>
            <w:tcW w:type="dxa" w:w="3456"/>
          </w:tcPr>
          <w:p>
            <w:r/>
            <w:r>
              <w:rPr>
                <w:b w:val="0"/>
                <w:sz w:val="21"/>
              </w:rPr>
              <w:t>Design sign-off</w:t>
            </w:r>
          </w:p>
        </w:tc>
        <w:tc>
          <w:tcPr>
            <w:tcW w:type="dxa" w:w="5904"/>
          </w:tcPr>
          <w:p>
            <w:r/>
            <w:r>
              <w:rPr>
                <w:b w:val="0"/>
                <w:sz w:val="21"/>
              </w:rPr>
              <w:t>SOLAS approval of detailed design and room schedule.</w:t>
            </w:r>
          </w:p>
        </w:tc>
      </w:tr>
      <w:tr>
        <w:tc>
          <w:tcPr>
            <w:tcW w:type="dxa" w:w="3456"/>
          </w:tcPr>
          <w:p>
            <w:r/>
            <w:r>
              <w:rPr>
                <w:b w:val="0"/>
                <w:sz w:val="21"/>
              </w:rPr>
              <w:t>First room/floor complete</w:t>
            </w:r>
          </w:p>
        </w:tc>
        <w:tc>
          <w:tcPr>
            <w:tcW w:type="dxa" w:w="5904"/>
          </w:tcPr>
          <w:p>
            <w:r/>
            <w:r>
              <w:rPr>
                <w:b w:val="0"/>
                <w:sz w:val="21"/>
              </w:rPr>
              <w:t>Successful acceptance test of pilot room/floor.</w:t>
            </w:r>
          </w:p>
        </w:tc>
      </w:tr>
      <w:tr>
        <w:tc>
          <w:tcPr>
            <w:tcW w:type="dxa" w:w="3456"/>
          </w:tcPr>
          <w:p>
            <w:r/>
            <w:r>
              <w:rPr>
                <w:b w:val="0"/>
                <w:sz w:val="21"/>
              </w:rPr>
              <w:t>All rooms installed</w:t>
            </w:r>
          </w:p>
        </w:tc>
        <w:tc>
          <w:tcPr>
            <w:tcW w:type="dxa" w:w="5904"/>
          </w:tcPr>
          <w:p>
            <w:r/>
            <w:r>
              <w:rPr>
                <w:b w:val="0"/>
                <w:sz w:val="21"/>
              </w:rPr>
              <w:t>All in-scope rooms installed and integrated.</w:t>
            </w:r>
          </w:p>
        </w:tc>
      </w:tr>
      <w:tr>
        <w:tc>
          <w:tcPr>
            <w:tcW w:type="dxa" w:w="3456"/>
          </w:tcPr>
          <w:p>
            <w:r/>
            <w:r>
              <w:rPr>
                <w:b w:val="0"/>
                <w:sz w:val="21"/>
              </w:rPr>
              <w:t>Commissioning complete</w:t>
            </w:r>
          </w:p>
        </w:tc>
        <w:tc>
          <w:tcPr>
            <w:tcW w:type="dxa" w:w="5904"/>
          </w:tcPr>
          <w:p>
            <w:r/>
            <w:r>
              <w:rPr>
                <w:b w:val="0"/>
                <w:sz w:val="21"/>
              </w:rPr>
              <w:t>All acceptance tests passed and signed off.</w:t>
            </w:r>
          </w:p>
        </w:tc>
      </w:tr>
      <w:tr>
        <w:tc>
          <w:tcPr>
            <w:tcW w:type="dxa" w:w="3456"/>
          </w:tcPr>
          <w:p>
            <w:r/>
            <w:r>
              <w:rPr>
                <w:b w:val="0"/>
                <w:sz w:val="21"/>
              </w:rPr>
              <w:t>Training complete</w:t>
            </w:r>
          </w:p>
        </w:tc>
        <w:tc>
          <w:tcPr>
            <w:tcW w:type="dxa" w:w="5904"/>
          </w:tcPr>
          <w:p>
            <w:r/>
            <w:r>
              <w:rPr>
                <w:b w:val="0"/>
                <w:sz w:val="21"/>
              </w:rPr>
              <w:t>Users and administrators trained; guides issued.</w:t>
            </w:r>
          </w:p>
        </w:tc>
      </w:tr>
      <w:tr>
        <w:tc>
          <w:tcPr>
            <w:tcW w:type="dxa" w:w="3456"/>
          </w:tcPr>
          <w:p>
            <w:r/>
            <w:r>
              <w:rPr>
                <w:b w:val="0"/>
                <w:sz w:val="21"/>
              </w:rPr>
              <w:t>Project handover</w:t>
            </w:r>
          </w:p>
        </w:tc>
        <w:tc>
          <w:tcPr>
            <w:tcW w:type="dxa" w:w="5904"/>
          </w:tcPr>
          <w:p>
            <w:r/>
            <w:r>
              <w:rPr>
                <w:b w:val="0"/>
                <w:sz w:val="21"/>
              </w:rPr>
              <w:t>As-built documentation issued; service commenced.</w:t>
            </w:r>
          </w:p>
        </w:tc>
      </w:tr>
    </w:tbl>
    <w:p>
      <w:pPr>
        <w:pStyle w:val="Heading2"/>
      </w:pPr>
      <w:r>
        <w:t>1.4  Risk to Project</w:t>
      </w:r>
    </w:p>
    <w:p>
      <w:r>
        <w:t>Risks are identified at initiation and managed through a live risk register reviewed at every progress meeting. Our initial assessment of key risks and mitigations is set out below.</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F3364"/>
          </w:tcPr>
          <w:p>
            <w:r/>
            <w:r>
              <w:rPr>
                <w:b/>
                <w:color w:val="FFFFFF"/>
                <w:sz w:val="21"/>
              </w:rPr>
              <w:t>Risk</w:t>
            </w:r>
          </w:p>
        </w:tc>
        <w:tc>
          <w:tcPr>
            <w:tcW w:type="dxa" w:w="1872"/>
            <w:shd w:val="clear" w:fill="1F3364"/>
          </w:tcPr>
          <w:p>
            <w:r/>
            <w:r>
              <w:rPr>
                <w:b/>
                <w:color w:val="FFFFFF"/>
                <w:sz w:val="21"/>
              </w:rPr>
              <w:t>Likelihood / Impact</w:t>
            </w:r>
          </w:p>
        </w:tc>
        <w:tc>
          <w:tcPr>
            <w:tcW w:type="dxa" w:w="4320"/>
            <w:shd w:val="clear" w:fill="1F3364"/>
          </w:tcPr>
          <w:p>
            <w:r/>
            <w:r>
              <w:rPr>
                <w:b/>
                <w:color w:val="FFFFFF"/>
                <w:sz w:val="21"/>
              </w:rPr>
              <w:t>Mitigation</w:t>
            </w:r>
          </w:p>
        </w:tc>
      </w:tr>
      <w:tr>
        <w:tc>
          <w:tcPr>
            <w:tcW w:type="dxa" w:w="3168"/>
          </w:tcPr>
          <w:p>
            <w:r/>
            <w:r>
              <w:rPr>
                <w:b w:val="0"/>
                <w:sz w:val="21"/>
              </w:rPr>
              <w:t>Disruption to live SOLAS operations during installation</w:t>
            </w:r>
          </w:p>
        </w:tc>
        <w:tc>
          <w:tcPr>
            <w:tcW w:type="dxa" w:w="1872"/>
          </w:tcPr>
          <w:p>
            <w:r/>
            <w:r>
              <w:rPr>
                <w:b w:val="0"/>
                <w:sz w:val="21"/>
              </w:rPr>
              <w:t>Medium / High</w:t>
            </w:r>
          </w:p>
        </w:tc>
        <w:tc>
          <w:tcPr>
            <w:tcW w:type="dxa" w:w="4320"/>
          </w:tcPr>
          <w:p>
            <w:r/>
            <w:r>
              <w:rPr>
                <w:b w:val="0"/>
                <w:sz w:val="21"/>
              </w:rPr>
              <w:t>Phased, floor-by-floor works scheduled around occupancy and key events; out-of-hours working where required; clear advance notice to SOLAS.</w:t>
            </w:r>
          </w:p>
        </w:tc>
      </w:tr>
      <w:tr>
        <w:tc>
          <w:tcPr>
            <w:tcW w:type="dxa" w:w="3168"/>
          </w:tcPr>
          <w:p>
            <w:r/>
            <w:r>
              <w:rPr>
                <w:b w:val="0"/>
                <w:sz w:val="21"/>
              </w:rPr>
              <w:t>Equipment lead times / supply delays</w:t>
            </w:r>
          </w:p>
        </w:tc>
        <w:tc>
          <w:tcPr>
            <w:tcW w:type="dxa" w:w="1872"/>
          </w:tcPr>
          <w:p>
            <w:r/>
            <w:r>
              <w:rPr>
                <w:b w:val="0"/>
                <w:sz w:val="21"/>
              </w:rPr>
              <w:t>Medium / Medium</w:t>
            </w:r>
          </w:p>
        </w:tc>
        <w:tc>
          <w:tcPr>
            <w:tcW w:type="dxa" w:w="4320"/>
          </w:tcPr>
          <w:p>
            <w:r/>
            <w:r>
              <w:rPr>
                <w:b w:val="0"/>
                <w:sz w:val="21"/>
              </w:rPr>
              <w:t>Early procurement; pre-staging; alternative equivalent products identified; lead times tracked in the plan.</w:t>
            </w:r>
          </w:p>
        </w:tc>
      </w:tr>
      <w:tr>
        <w:tc>
          <w:tcPr>
            <w:tcW w:type="dxa" w:w="3168"/>
          </w:tcPr>
          <w:p>
            <w:r/>
            <w:r>
              <w:rPr>
                <w:b w:val="0"/>
                <w:sz w:val="21"/>
              </w:rPr>
              <w:t>Integration issues with M365/Teams and Clearooms</w:t>
            </w:r>
          </w:p>
        </w:tc>
        <w:tc>
          <w:tcPr>
            <w:tcW w:type="dxa" w:w="1872"/>
          </w:tcPr>
          <w:p>
            <w:r/>
            <w:r>
              <w:rPr>
                <w:b w:val="0"/>
                <w:sz w:val="21"/>
              </w:rPr>
              <w:t>Low / High</w:t>
            </w:r>
          </w:p>
        </w:tc>
        <w:tc>
          <w:tcPr>
            <w:tcW w:type="dxa" w:w="4320"/>
          </w:tcPr>
          <w:p>
            <w:r/>
            <w:r>
              <w:rPr>
                <w:b w:val="0"/>
                <w:sz w:val="21"/>
              </w:rPr>
              <w:t>Early validation of integration points in design stage; controlled test environment; close coordination with SOLAS IT.</w:t>
            </w:r>
          </w:p>
        </w:tc>
      </w:tr>
      <w:tr>
        <w:tc>
          <w:tcPr>
            <w:tcW w:type="dxa" w:w="3168"/>
          </w:tcPr>
          <w:p>
            <w:r/>
            <w:r>
              <w:rPr>
                <w:b w:val="0"/>
                <w:sz w:val="21"/>
              </w:rPr>
              <w:t>Inconsistent user experience across room types</w:t>
            </w:r>
          </w:p>
        </w:tc>
        <w:tc>
          <w:tcPr>
            <w:tcW w:type="dxa" w:w="1872"/>
          </w:tcPr>
          <w:p>
            <w:r/>
            <w:r>
              <w:rPr>
                <w:b w:val="0"/>
                <w:sz w:val="21"/>
              </w:rPr>
              <w:t>Low / Medium</w:t>
            </w:r>
          </w:p>
        </w:tc>
        <w:tc>
          <w:tcPr>
            <w:tcW w:type="dxa" w:w="4320"/>
          </w:tcPr>
          <w:p>
            <w:r/>
            <w:r>
              <w:rPr>
                <w:b w:val="0"/>
                <w:sz w:val="21"/>
              </w:rPr>
              <w:t>Standardised platform and single UI across all rooms; standardised build and acceptance test scripts.</w:t>
            </w:r>
          </w:p>
        </w:tc>
      </w:tr>
      <w:tr>
        <w:tc>
          <w:tcPr>
            <w:tcW w:type="dxa" w:w="3168"/>
          </w:tcPr>
          <w:p>
            <w:r/>
            <w:r>
              <w:rPr>
                <w:b w:val="0"/>
                <w:sz w:val="21"/>
              </w:rPr>
              <w:t>Scope variation (potential ground/1st floor additions)</w:t>
            </w:r>
          </w:p>
        </w:tc>
        <w:tc>
          <w:tcPr>
            <w:tcW w:type="dxa" w:w="1872"/>
          </w:tcPr>
          <w:p>
            <w:r/>
            <w:r>
              <w:rPr>
                <w:b w:val="0"/>
                <w:sz w:val="21"/>
              </w:rPr>
              <w:t>Medium / Medium</w:t>
            </w:r>
          </w:p>
        </w:tc>
        <w:tc>
          <w:tcPr>
            <w:tcW w:type="dxa" w:w="4320"/>
          </w:tcPr>
          <w:p>
            <w:r/>
            <w:r>
              <w:rPr>
                <w:b w:val="0"/>
                <w:sz w:val="21"/>
              </w:rPr>
              <w:t>Scalable, repeatable room templates; formal change control to absorb additional spaces without redesign.</w:t>
            </w:r>
          </w:p>
        </w:tc>
      </w:tr>
      <w:tr>
        <w:tc>
          <w:tcPr>
            <w:tcW w:type="dxa" w:w="3168"/>
          </w:tcPr>
          <w:p>
            <w:r/>
            <w:r>
              <w:rPr>
                <w:b w:val="0"/>
                <w:sz w:val="21"/>
              </w:rPr>
              <w:t>Accessibility requirements not fully met</w:t>
            </w:r>
          </w:p>
        </w:tc>
        <w:tc>
          <w:tcPr>
            <w:tcW w:type="dxa" w:w="1872"/>
          </w:tcPr>
          <w:p>
            <w:r/>
            <w:r>
              <w:rPr>
                <w:b w:val="0"/>
                <w:sz w:val="21"/>
              </w:rPr>
              <w:t>Low / High</w:t>
            </w:r>
          </w:p>
        </w:tc>
        <w:tc>
          <w:tcPr>
            <w:tcW w:type="dxa" w:w="4320"/>
          </w:tcPr>
          <w:p>
            <w:r/>
            <w:r>
              <w:rPr>
                <w:b w:val="0"/>
                <w:sz w:val="21"/>
              </w:rPr>
              <w:t>Accessibility designed in from the outset and verified during commissioning (hearing support, reach ranges, clear UI).</w:t>
            </w:r>
          </w:p>
        </w:tc>
      </w:tr>
    </w:tbl>
    <w:p>
      <w:r>
        <w:br w:type="page"/>
      </w:r>
    </w:p>
    <w:p>
      <w:pPr>
        <w:pStyle w:val="Heading1"/>
      </w:pPr>
      <w:r>
        <w:t>3.  Proposed Team and Contract Management</w:t>
      </w:r>
    </w:p>
    <w:p>
      <w:r>
        <w:t>[Company Name] will provide an experienced, appropriately skilled team for the duration of the project and a structured contract management and support regime for the operational life of the solution. The same Account/Contract Manager and Project Manager will provide continuity from award through to ongoing support.</w:t>
      </w:r>
    </w:p>
    <w:p>
      <w:pPr>
        <w:pStyle w:val="Heading2"/>
      </w:pPr>
      <w:r>
        <w:t>3.1  Quality and Experience of Personnel</w:t>
      </w:r>
    </w:p>
    <w:p>
      <w:r>
        <w:t>The core team proposed for this engagement, and available throughout the project, is set out below. CVs / profiles evidencing relevant experience and accreditations are provided for each named individual.</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F3364"/>
          </w:tcPr>
          <w:p>
            <w:r/>
            <w:r>
              <w:rPr>
                <w:b/>
                <w:color w:val="FFFFFF"/>
                <w:sz w:val="21"/>
              </w:rPr>
              <w:t>Role</w:t>
            </w:r>
          </w:p>
        </w:tc>
        <w:tc>
          <w:tcPr>
            <w:tcW w:type="dxa" w:w="3888"/>
            <w:shd w:val="clear" w:fill="1F3364"/>
          </w:tcPr>
          <w:p>
            <w:r/>
            <w:r>
              <w:rPr>
                <w:b/>
                <w:color w:val="FFFFFF"/>
                <w:sz w:val="21"/>
              </w:rPr>
              <w:t>Responsibilities</w:t>
            </w:r>
          </w:p>
        </w:tc>
        <w:tc>
          <w:tcPr>
            <w:tcW w:type="dxa" w:w="2736"/>
            <w:shd w:val="clear" w:fill="1F3364"/>
          </w:tcPr>
          <w:p>
            <w:r/>
            <w:r>
              <w:rPr>
                <w:b/>
                <w:color w:val="FFFFFF"/>
                <w:sz w:val="21"/>
              </w:rPr>
              <w:t>Relevant Experience</w:t>
            </w:r>
          </w:p>
        </w:tc>
      </w:tr>
      <w:tr>
        <w:tc>
          <w:tcPr>
            <w:tcW w:type="dxa" w:w="2736"/>
          </w:tcPr>
          <w:p>
            <w:r/>
            <w:r>
              <w:rPr>
                <w:b w:val="0"/>
                <w:sz w:val="21"/>
              </w:rPr>
              <w:t>Account / Contract Manager</w:t>
            </w:r>
          </w:p>
        </w:tc>
        <w:tc>
          <w:tcPr>
            <w:tcW w:type="dxa" w:w="3888"/>
          </w:tcPr>
          <w:p>
            <w:r/>
            <w:r>
              <w:rPr>
                <w:b w:val="0"/>
                <w:sz w:val="21"/>
              </w:rPr>
              <w:t>Single point of commercial contact; contract governance; service reviews; continuity into support.</w:t>
            </w:r>
          </w:p>
        </w:tc>
        <w:tc>
          <w:tcPr>
            <w:tcW w:type="dxa" w:w="2736"/>
          </w:tcPr>
          <w:p>
            <w:r/>
            <w:r>
              <w:rPr>
                <w:b w:val="0"/>
                <w:sz w:val="21"/>
              </w:rPr>
              <w:t>[Years] years; [reference contracts of similar scale].</w:t>
            </w:r>
          </w:p>
        </w:tc>
      </w:tr>
      <w:tr>
        <w:tc>
          <w:tcPr>
            <w:tcW w:type="dxa" w:w="2736"/>
          </w:tcPr>
          <w:p>
            <w:r/>
            <w:r>
              <w:rPr>
                <w:b w:val="0"/>
                <w:sz w:val="21"/>
              </w:rPr>
              <w:t>Project Manager</w:t>
            </w:r>
          </w:p>
        </w:tc>
        <w:tc>
          <w:tcPr>
            <w:tcW w:type="dxa" w:w="3888"/>
          </w:tcPr>
          <w:p>
            <w:r/>
            <w:r>
              <w:rPr>
                <w:b w:val="0"/>
                <w:sz w:val="21"/>
              </w:rPr>
              <w:t>Owns the project plan, schedule, reporting, risk and change control; primary delivery contact for SOLAS.</w:t>
            </w:r>
          </w:p>
        </w:tc>
        <w:tc>
          <w:tcPr>
            <w:tcW w:type="dxa" w:w="2736"/>
          </w:tcPr>
          <w:p>
            <w:r/>
            <w:r>
              <w:rPr>
                <w:b w:val="0"/>
                <w:sz w:val="21"/>
              </w:rPr>
              <w:t>[PRINCE2/PMP]; [comparable AV fit-out projects].</w:t>
            </w:r>
          </w:p>
        </w:tc>
      </w:tr>
      <w:tr>
        <w:tc>
          <w:tcPr>
            <w:tcW w:type="dxa" w:w="2736"/>
          </w:tcPr>
          <w:p>
            <w:r/>
            <w:r>
              <w:rPr>
                <w:b w:val="0"/>
                <w:sz w:val="21"/>
              </w:rPr>
              <w:t>Lead AV / Design Engineer</w:t>
            </w:r>
          </w:p>
        </w:tc>
        <w:tc>
          <w:tcPr>
            <w:tcW w:type="dxa" w:w="3888"/>
          </w:tcPr>
          <w:p>
            <w:r/>
            <w:r>
              <w:rPr>
                <w:b w:val="0"/>
                <w:sz w:val="21"/>
              </w:rPr>
              <w:t>Detailed design; standardisation; integration with M365/Teams and Clearooms; commissioning oversight.</w:t>
            </w:r>
          </w:p>
        </w:tc>
        <w:tc>
          <w:tcPr>
            <w:tcW w:type="dxa" w:w="2736"/>
          </w:tcPr>
          <w:p>
            <w:r/>
            <w:r>
              <w:rPr>
                <w:b w:val="0"/>
                <w:sz w:val="21"/>
              </w:rPr>
              <w:t>[Manufacturer accreditations, e.g. AVIXA CTS]; [similar projects].</w:t>
            </w:r>
          </w:p>
        </w:tc>
      </w:tr>
      <w:tr>
        <w:tc>
          <w:tcPr>
            <w:tcW w:type="dxa" w:w="2736"/>
          </w:tcPr>
          <w:p>
            <w:r/>
            <w:r>
              <w:rPr>
                <w:b w:val="0"/>
                <w:sz w:val="21"/>
              </w:rPr>
              <w:t>Installation Team</w:t>
            </w:r>
          </w:p>
        </w:tc>
        <w:tc>
          <w:tcPr>
            <w:tcW w:type="dxa" w:w="3888"/>
          </w:tcPr>
          <w:p>
            <w:r/>
            <w:r>
              <w:rPr>
                <w:b w:val="0"/>
                <w:sz w:val="21"/>
              </w:rPr>
              <w:t>Cabling, mounting, hardware installation and on-site integration.</w:t>
            </w:r>
          </w:p>
        </w:tc>
        <w:tc>
          <w:tcPr>
            <w:tcW w:type="dxa" w:w="2736"/>
          </w:tcPr>
          <w:p>
            <w:r/>
            <w:r>
              <w:rPr>
                <w:b w:val="0"/>
                <w:sz w:val="21"/>
              </w:rPr>
              <w:t>[Certified installers]; safe-pass / relevant site certifications.</w:t>
            </w:r>
          </w:p>
        </w:tc>
      </w:tr>
      <w:tr>
        <w:tc>
          <w:tcPr>
            <w:tcW w:type="dxa" w:w="2736"/>
          </w:tcPr>
          <w:p>
            <w:r/>
            <w:r>
              <w:rPr>
                <w:b w:val="0"/>
                <w:sz w:val="21"/>
              </w:rPr>
              <w:t>Commissioning Engineer</w:t>
            </w:r>
          </w:p>
        </w:tc>
        <w:tc>
          <w:tcPr>
            <w:tcW w:type="dxa" w:w="3888"/>
          </w:tcPr>
          <w:p>
            <w:r/>
            <w:r>
              <w:rPr>
                <w:b w:val="0"/>
                <w:sz w:val="21"/>
              </w:rPr>
              <w:t>Functional and acceptance testing; accessibility and call-quality verification.</w:t>
            </w:r>
          </w:p>
        </w:tc>
        <w:tc>
          <w:tcPr>
            <w:tcW w:type="dxa" w:w="2736"/>
          </w:tcPr>
          <w:p>
            <w:r/>
            <w:r>
              <w:rPr>
                <w:b w:val="0"/>
                <w:sz w:val="21"/>
              </w:rPr>
              <w:t>[Relevant accreditations].</w:t>
            </w:r>
          </w:p>
        </w:tc>
      </w:tr>
      <w:tr>
        <w:tc>
          <w:tcPr>
            <w:tcW w:type="dxa" w:w="2736"/>
          </w:tcPr>
          <w:p>
            <w:r/>
            <w:r>
              <w:rPr>
                <w:b w:val="0"/>
                <w:sz w:val="21"/>
              </w:rPr>
              <w:t>Support / Service Desk Lead</w:t>
            </w:r>
          </w:p>
        </w:tc>
        <w:tc>
          <w:tcPr>
            <w:tcW w:type="dxa" w:w="3888"/>
          </w:tcPr>
          <w:p>
            <w:r/>
            <w:r>
              <w:rPr>
                <w:b w:val="0"/>
                <w:sz w:val="21"/>
              </w:rPr>
              <w:t>Owns the support relationship, SLAs, maintenance and escalation.</w:t>
            </w:r>
          </w:p>
        </w:tc>
        <w:tc>
          <w:tcPr>
            <w:tcW w:type="dxa" w:w="2736"/>
          </w:tcPr>
          <w:p>
            <w:r/>
            <w:r>
              <w:rPr>
                <w:b w:val="0"/>
                <w:sz w:val="21"/>
              </w:rPr>
              <w:t>[ITIL]; service management experience.</w:t>
            </w:r>
          </w:p>
        </w:tc>
      </w:tr>
    </w:tbl>
    <w:p>
      <w:r>
        <w:rPr>
          <w:i/>
          <w:color w:val="C00000"/>
        </w:rPr>
        <w:t>[Insert named individuals and attach CVs. Reference 2–3 comparable AV projects (ideally public sector / similar room mix) with outcomes — mirror the reference sites used in your TCD response.]</w:t>
      </w:r>
    </w:p>
    <w:p>
      <w:pPr>
        <w:pStyle w:val="Heading2"/>
      </w:pPr>
      <w:r>
        <w:t>3.2  System Support</w:t>
      </w:r>
    </w:p>
    <w:p>
      <w:r>
        <w:t>Following handover, [Company Name] will provide a comprehensive support service for the standardised AV estate. Our support model comprises:</w:t>
      </w:r>
    </w:p>
    <w:p>
      <w:pPr>
        <w:pStyle w:val="ListBullet"/>
      </w:pPr>
      <w:r>
        <w:t>A single, named service desk as the central point of contact for all incidents and requests, accessible by phone, email and online portal.</w:t>
      </w:r>
    </w:p>
    <w:p>
      <w:pPr>
        <w:pStyle w:val="ListBullet"/>
      </w:pPr>
      <w:r>
        <w:t>Logging, tracking and reporting of all tickets through our service management system, with reference numbers and status visibility for SOLAS.</w:t>
      </w:r>
    </w:p>
    <w:p>
      <w:pPr>
        <w:pStyle w:val="ListBullet"/>
      </w:pPr>
      <w:r>
        <w:t>Remote diagnostics and resolution where possible to minimise downtime, with on-site attendance where required.</w:t>
      </w:r>
    </w:p>
    <w:p>
      <w:pPr>
        <w:pStyle w:val="ListBullet"/>
      </w:pPr>
      <w:r>
        <w:t>Standard support hours of [e.g. 08:00–18:00, Monday–Friday], with optional extended cover for major SOLAS events.</w:t>
      </w:r>
    </w:p>
    <w:p>
      <w:pPr>
        <w:pStyle w:val="ListBullet"/>
      </w:pPr>
      <w:r>
        <w:t>Regular service review meetings with the SOLAS contract owner, including performance against SLAs and continual improvement actions.</w:t>
      </w:r>
    </w:p>
    <w:p>
      <w:r>
        <w:rPr>
          <w:i/>
          <w:color w:val="C00000"/>
        </w:rPr>
        <w:t>[Confirm support hours, portal/contact details and reporting cadence to match your standard managed-service offering.]</w:t>
      </w:r>
    </w:p>
    <w:p>
      <w:pPr>
        <w:pStyle w:val="Heading2"/>
      </w:pPr>
      <w:r>
        <w:t>3.3  Response Times</w:t>
      </w:r>
    </w:p>
    <w:p>
      <w:r>
        <w:t>Incidents are prioritised by business impact, with target response and resolution times as set out below. SLA performance is reported at each service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1F3364"/>
          </w:tcPr>
          <w:p>
            <w:r/>
            <w:r>
              <w:rPr>
                <w:b/>
                <w:color w:val="FFFFFF"/>
                <w:sz w:val="21"/>
              </w:rPr>
              <w:t>Priority</w:t>
            </w:r>
          </w:p>
        </w:tc>
        <w:tc>
          <w:tcPr>
            <w:tcW w:type="dxa" w:w="3744"/>
            <w:shd w:val="clear" w:fill="1F3364"/>
          </w:tcPr>
          <w:p>
            <w:r/>
            <w:r>
              <w:rPr>
                <w:b/>
                <w:color w:val="FFFFFF"/>
                <w:sz w:val="21"/>
              </w:rPr>
              <w:t>Definition</w:t>
            </w:r>
          </w:p>
        </w:tc>
        <w:tc>
          <w:tcPr>
            <w:tcW w:type="dxa" w:w="1872"/>
            <w:shd w:val="clear" w:fill="1F3364"/>
          </w:tcPr>
          <w:p>
            <w:r/>
            <w:r>
              <w:rPr>
                <w:b/>
                <w:color w:val="FFFFFF"/>
                <w:sz w:val="21"/>
              </w:rPr>
              <w:t>Target Response</w:t>
            </w:r>
          </w:p>
        </w:tc>
        <w:tc>
          <w:tcPr>
            <w:tcW w:type="dxa" w:w="1872"/>
            <w:shd w:val="clear" w:fill="1F3364"/>
          </w:tcPr>
          <w:p>
            <w:r/>
            <w:r>
              <w:rPr>
                <w:b/>
                <w:color w:val="FFFFFF"/>
                <w:sz w:val="21"/>
              </w:rPr>
              <w:t>Target Resolution</w:t>
            </w:r>
          </w:p>
        </w:tc>
      </w:tr>
      <w:tr>
        <w:tc>
          <w:tcPr>
            <w:tcW w:type="dxa" w:w="1872"/>
          </w:tcPr>
          <w:p>
            <w:r/>
            <w:r>
              <w:rPr>
                <w:b w:val="0"/>
                <w:sz w:val="21"/>
              </w:rPr>
              <w:t>P1 – Critical</w:t>
            </w:r>
          </w:p>
        </w:tc>
        <w:tc>
          <w:tcPr>
            <w:tcW w:type="dxa" w:w="3744"/>
          </w:tcPr>
          <w:p>
            <w:r/>
            <w:r>
              <w:rPr>
                <w:b w:val="0"/>
                <w:sz w:val="21"/>
              </w:rPr>
              <w:t>Room/event space unusable, or a major event affected.</w:t>
            </w:r>
          </w:p>
        </w:tc>
        <w:tc>
          <w:tcPr>
            <w:tcW w:type="dxa" w:w="1872"/>
          </w:tcPr>
          <w:p>
            <w:r/>
            <w:r>
              <w:rPr>
                <w:b w:val="0"/>
                <w:sz w:val="21"/>
              </w:rPr>
              <w:t>[1 hour]</w:t>
            </w:r>
          </w:p>
        </w:tc>
        <w:tc>
          <w:tcPr>
            <w:tcW w:type="dxa" w:w="1872"/>
          </w:tcPr>
          <w:p>
            <w:r/>
            <w:r>
              <w:rPr>
                <w:b w:val="0"/>
                <w:sz w:val="21"/>
              </w:rPr>
              <w:t>[Same business day]</w:t>
            </w:r>
          </w:p>
        </w:tc>
      </w:tr>
      <w:tr>
        <w:tc>
          <w:tcPr>
            <w:tcW w:type="dxa" w:w="1872"/>
          </w:tcPr>
          <w:p>
            <w:r/>
            <w:r>
              <w:rPr>
                <w:b w:val="0"/>
                <w:sz w:val="21"/>
              </w:rPr>
              <w:t>P2 – High</w:t>
            </w:r>
          </w:p>
        </w:tc>
        <w:tc>
          <w:tcPr>
            <w:tcW w:type="dxa" w:w="3744"/>
          </w:tcPr>
          <w:p>
            <w:r/>
            <w:r>
              <w:rPr>
                <w:b w:val="0"/>
                <w:sz w:val="21"/>
              </w:rPr>
              <w:t>Significant feature unavailable; workaround limited.</w:t>
            </w:r>
          </w:p>
        </w:tc>
        <w:tc>
          <w:tcPr>
            <w:tcW w:type="dxa" w:w="1872"/>
          </w:tcPr>
          <w:p>
            <w:r/>
            <w:r>
              <w:rPr>
                <w:b w:val="0"/>
                <w:sz w:val="21"/>
              </w:rPr>
              <w:t>[4 hours]</w:t>
            </w:r>
          </w:p>
        </w:tc>
        <w:tc>
          <w:tcPr>
            <w:tcW w:type="dxa" w:w="1872"/>
          </w:tcPr>
          <w:p>
            <w:r/>
            <w:r>
              <w:rPr>
                <w:b w:val="0"/>
                <w:sz w:val="21"/>
              </w:rPr>
              <w:t>[Next business day]</w:t>
            </w:r>
          </w:p>
        </w:tc>
      </w:tr>
      <w:tr>
        <w:tc>
          <w:tcPr>
            <w:tcW w:type="dxa" w:w="1872"/>
          </w:tcPr>
          <w:p>
            <w:r/>
            <w:r>
              <w:rPr>
                <w:b w:val="0"/>
                <w:sz w:val="21"/>
              </w:rPr>
              <w:t>P3 – Medium</w:t>
            </w:r>
          </w:p>
        </w:tc>
        <w:tc>
          <w:tcPr>
            <w:tcW w:type="dxa" w:w="3744"/>
          </w:tcPr>
          <w:p>
            <w:r/>
            <w:r>
              <w:rPr>
                <w:b w:val="0"/>
                <w:sz w:val="21"/>
              </w:rPr>
              <w:t>Minor fault; room usable with workaround.</w:t>
            </w:r>
          </w:p>
        </w:tc>
        <w:tc>
          <w:tcPr>
            <w:tcW w:type="dxa" w:w="1872"/>
          </w:tcPr>
          <w:p>
            <w:r/>
            <w:r>
              <w:rPr>
                <w:b w:val="0"/>
                <w:sz w:val="21"/>
              </w:rPr>
              <w:t>[8 hours]</w:t>
            </w:r>
          </w:p>
        </w:tc>
        <w:tc>
          <w:tcPr>
            <w:tcW w:type="dxa" w:w="1872"/>
          </w:tcPr>
          <w:p>
            <w:r/>
            <w:r>
              <w:rPr>
                <w:b w:val="0"/>
                <w:sz w:val="21"/>
              </w:rPr>
              <w:t>[3 business days]</w:t>
            </w:r>
          </w:p>
        </w:tc>
      </w:tr>
      <w:tr>
        <w:tc>
          <w:tcPr>
            <w:tcW w:type="dxa" w:w="1872"/>
          </w:tcPr>
          <w:p>
            <w:r/>
            <w:r>
              <w:rPr>
                <w:b w:val="0"/>
                <w:sz w:val="21"/>
              </w:rPr>
              <w:t>P4 – Low</w:t>
            </w:r>
          </w:p>
        </w:tc>
        <w:tc>
          <w:tcPr>
            <w:tcW w:type="dxa" w:w="3744"/>
          </w:tcPr>
          <w:p>
            <w:r/>
            <w:r>
              <w:rPr>
                <w:b w:val="0"/>
                <w:sz w:val="21"/>
              </w:rPr>
              <w:t>Request for information or minor change.</w:t>
            </w:r>
          </w:p>
        </w:tc>
        <w:tc>
          <w:tcPr>
            <w:tcW w:type="dxa" w:w="1872"/>
          </w:tcPr>
          <w:p>
            <w:r/>
            <w:r>
              <w:rPr>
                <w:b w:val="0"/>
                <w:sz w:val="21"/>
              </w:rPr>
              <w:t>[1 business day]</w:t>
            </w:r>
          </w:p>
        </w:tc>
        <w:tc>
          <w:tcPr>
            <w:tcW w:type="dxa" w:w="1872"/>
          </w:tcPr>
          <w:p>
            <w:r/>
            <w:r>
              <w:rPr>
                <w:b w:val="0"/>
                <w:sz w:val="21"/>
              </w:rPr>
              <w:t>[5 business days]</w:t>
            </w:r>
          </w:p>
        </w:tc>
      </w:tr>
    </w:tbl>
    <w:p>
      <w:r>
        <w:rPr>
          <w:i/>
          <w:color w:val="C00000"/>
        </w:rPr>
        <w:t>[Adjust SLA targets to match the levels committed in your TCD response / standard support contract.]</w:t>
      </w:r>
    </w:p>
    <w:p>
      <w:pPr>
        <w:pStyle w:val="Heading2"/>
      </w:pPr>
      <w:r>
        <w:t>3.4  Maintenance</w:t>
      </w:r>
    </w:p>
    <w:p>
      <w:r>
        <w:t>To keep the AV estate reliable, secure and consistent across all rooms, we provide a planned preventative maintenance (PPM) regime alongside reactive support:</w:t>
      </w:r>
    </w:p>
    <w:p>
      <w:pPr>
        <w:pStyle w:val="ListBullet"/>
      </w:pPr>
      <w:r>
        <w:t>Scheduled PPM visits [e.g. twice yearly] covering inspection, cleaning, connection checks and performance verification of every room.</w:t>
      </w:r>
    </w:p>
    <w:p>
      <w:pPr>
        <w:pStyle w:val="ListBullet"/>
      </w:pPr>
      <w:r>
        <w:t>Proactive remote monitoring of connected devices to identify and address issues before they affect users, where supported.</w:t>
      </w:r>
    </w:p>
    <w:p>
      <w:pPr>
        <w:pStyle w:val="ListBullet"/>
      </w:pPr>
      <w:r>
        <w:t>Firmware and software updates applied in a controlled manner to maintain security, compatibility with Microsoft Teams/365, and standardisation.</w:t>
      </w:r>
    </w:p>
    <w:p>
      <w:pPr>
        <w:pStyle w:val="ListBullet"/>
      </w:pPr>
      <w:r>
        <w:t>Maintenance of an asset register and service history for all installed equipment.</w:t>
      </w:r>
    </w:p>
    <w:p>
      <w:pPr>
        <w:pStyle w:val="ListBullet"/>
      </w:pPr>
      <w:r>
        <w:t>Recommendations for technology refresh and lifecycle management over the contract term.</w:t>
      </w:r>
    </w:p>
    <w:p>
      <w:r>
        <w:rPr>
          <w:i/>
          <w:color w:val="C00000"/>
        </w:rPr>
        <w:t>[Confirm PPM frequency and whether remote monitoring is included in the base offer.]</w:t>
      </w:r>
    </w:p>
    <w:p>
      <w:pPr>
        <w:pStyle w:val="Heading2"/>
      </w:pPr>
      <w:r>
        <w:t>3.5  Escalation Process</w:t>
      </w:r>
    </w:p>
    <w:p>
      <w:r>
        <w:t>Where an incident is not progressing within SLA, or SOLAS wishes to raise a concern, a clear tiered escalation path ensures rapid attention from increasingly senior staff:</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1F3364"/>
          </w:tcPr>
          <w:p>
            <w:r/>
            <w:r>
              <w:rPr>
                <w:b/>
                <w:color w:val="FFFFFF"/>
                <w:sz w:val="21"/>
              </w:rPr>
              <w:t>Level</w:t>
            </w:r>
          </w:p>
        </w:tc>
        <w:tc>
          <w:tcPr>
            <w:tcW w:type="dxa" w:w="3168"/>
            <w:shd w:val="clear" w:fill="1F3364"/>
          </w:tcPr>
          <w:p>
            <w:r/>
            <w:r>
              <w:rPr>
                <w:b/>
                <w:color w:val="FFFFFF"/>
                <w:sz w:val="21"/>
              </w:rPr>
              <w:t>Owner</w:t>
            </w:r>
          </w:p>
        </w:tc>
        <w:tc>
          <w:tcPr>
            <w:tcW w:type="dxa" w:w="4752"/>
            <w:shd w:val="clear" w:fill="1F3364"/>
          </w:tcPr>
          <w:p>
            <w:r/>
            <w:r>
              <w:rPr>
                <w:b/>
                <w:color w:val="FFFFFF"/>
                <w:sz w:val="21"/>
              </w:rPr>
              <w:t>Trigger / Role</w:t>
            </w:r>
          </w:p>
        </w:tc>
      </w:tr>
      <w:tr>
        <w:tc>
          <w:tcPr>
            <w:tcW w:type="dxa" w:w="1440"/>
          </w:tcPr>
          <w:p>
            <w:r/>
            <w:r>
              <w:rPr>
                <w:b w:val="0"/>
                <w:sz w:val="21"/>
              </w:rPr>
              <w:t>Level 1</w:t>
            </w:r>
          </w:p>
        </w:tc>
        <w:tc>
          <w:tcPr>
            <w:tcW w:type="dxa" w:w="3168"/>
          </w:tcPr>
          <w:p>
            <w:r/>
            <w:r>
              <w:rPr>
                <w:b w:val="0"/>
                <w:sz w:val="21"/>
              </w:rPr>
              <w:t>Service Desk Analyst</w:t>
            </w:r>
          </w:p>
        </w:tc>
        <w:tc>
          <w:tcPr>
            <w:tcW w:type="dxa" w:w="4752"/>
          </w:tcPr>
          <w:p>
            <w:r/>
            <w:r>
              <w:rPr>
                <w:b w:val="0"/>
                <w:sz w:val="21"/>
              </w:rPr>
              <w:t>Initial logging, triage and resolution of the incident.</w:t>
            </w:r>
          </w:p>
        </w:tc>
      </w:tr>
      <w:tr>
        <w:tc>
          <w:tcPr>
            <w:tcW w:type="dxa" w:w="1440"/>
          </w:tcPr>
          <w:p>
            <w:r/>
            <w:r>
              <w:rPr>
                <w:b w:val="0"/>
                <w:sz w:val="21"/>
              </w:rPr>
              <w:t>Level 2</w:t>
            </w:r>
          </w:p>
        </w:tc>
        <w:tc>
          <w:tcPr>
            <w:tcW w:type="dxa" w:w="3168"/>
          </w:tcPr>
          <w:p>
            <w:r/>
            <w:r>
              <w:rPr>
                <w:b w:val="0"/>
                <w:sz w:val="21"/>
              </w:rPr>
              <w:t>Lead Engineer / Service Desk Lead</w:t>
            </w:r>
          </w:p>
        </w:tc>
        <w:tc>
          <w:tcPr>
            <w:tcW w:type="dxa" w:w="4752"/>
          </w:tcPr>
          <w:p>
            <w:r/>
            <w:r>
              <w:rPr>
                <w:b w:val="0"/>
                <w:sz w:val="21"/>
              </w:rPr>
              <w:t>Technical escalation; SLA at risk; complex faults.</w:t>
            </w:r>
          </w:p>
        </w:tc>
      </w:tr>
      <w:tr>
        <w:tc>
          <w:tcPr>
            <w:tcW w:type="dxa" w:w="1440"/>
          </w:tcPr>
          <w:p>
            <w:r/>
            <w:r>
              <w:rPr>
                <w:b w:val="0"/>
                <w:sz w:val="21"/>
              </w:rPr>
              <w:t>Level 3</w:t>
            </w:r>
          </w:p>
        </w:tc>
        <w:tc>
          <w:tcPr>
            <w:tcW w:type="dxa" w:w="3168"/>
          </w:tcPr>
          <w:p>
            <w:r/>
            <w:r>
              <w:rPr>
                <w:b w:val="0"/>
                <w:sz w:val="21"/>
              </w:rPr>
              <w:t>Account / Contract Manager</w:t>
            </w:r>
          </w:p>
        </w:tc>
        <w:tc>
          <w:tcPr>
            <w:tcW w:type="dxa" w:w="4752"/>
          </w:tcPr>
          <w:p>
            <w:r/>
            <w:r>
              <w:rPr>
                <w:b w:val="0"/>
                <w:sz w:val="21"/>
              </w:rPr>
              <w:t>SLA breach, recurring issues, or SOLAS-raised concern.</w:t>
            </w:r>
          </w:p>
        </w:tc>
      </w:tr>
      <w:tr>
        <w:tc>
          <w:tcPr>
            <w:tcW w:type="dxa" w:w="1440"/>
          </w:tcPr>
          <w:p>
            <w:r/>
            <w:r>
              <w:rPr>
                <w:b w:val="0"/>
                <w:sz w:val="21"/>
              </w:rPr>
              <w:t>Level 4</w:t>
            </w:r>
          </w:p>
        </w:tc>
        <w:tc>
          <w:tcPr>
            <w:tcW w:type="dxa" w:w="3168"/>
          </w:tcPr>
          <w:p>
            <w:r/>
            <w:r>
              <w:rPr>
                <w:b w:val="0"/>
                <w:sz w:val="21"/>
              </w:rPr>
              <w:t>[Senior Manager / Director]</w:t>
            </w:r>
          </w:p>
        </w:tc>
        <w:tc>
          <w:tcPr>
            <w:tcW w:type="dxa" w:w="4752"/>
          </w:tcPr>
          <w:p>
            <w:r/>
            <w:r>
              <w:rPr>
                <w:b w:val="0"/>
                <w:sz w:val="21"/>
              </w:rPr>
              <w:t>Unresolved escalations or major service issues.</w:t>
            </w:r>
          </w:p>
        </w:tc>
      </w:tr>
    </w:tbl>
    <w:p>
      <w:r>
        <w:t>Escalation contacts, including names and direct contact details, will be provided at handover and kept current throughout the contract. For incidents affecting a live SOLAS event, escalation is automatic and immediate.</w:t>
      </w:r>
    </w:p>
    <w:p>
      <w:r>
        <w:rPr>
          <w:i/>
          <w:color w:val="C00000"/>
        </w:rPr>
        <w:t>[Insert named escalation contacts and direct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