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364"/>
          <w:sz w:val="44"/>
        </w:rPr>
        <w:t>Competitive Dialogue Procedure</w:t>
      </w:r>
    </w:p>
    <w:p>
      <w:pPr>
        <w:jc w:val="center"/>
      </w:pPr>
      <w:r>
        <w:rPr>
          <w:b w:val="0"/>
          <w:color w:val="1F3364"/>
          <w:sz w:val="36"/>
        </w:rPr>
        <w:t>Stage 2 – Descriptive Document</w:t>
      </w:r>
    </w:p>
    <w:p>
      <w:pPr>
        <w:jc w:val="center"/>
      </w:pPr>
      <w:r>
        <w:rPr>
          <w:b w:val="0"/>
          <w:color w:val="1F3364"/>
          <w:sz w:val="12"/>
        </w:rPr>
      </w:r>
    </w:p>
    <w:p>
      <w:pPr>
        <w:jc w:val="center"/>
      </w:pPr>
      <w:r>
        <w:rPr>
          <w:b w:val="0"/>
          <w:color w:val="1F3364"/>
          <w:sz w:val="32"/>
        </w:rPr>
        <w:t>For the refresh of AV equipment throughout SOLAS</w:t>
      </w:r>
    </w:p>
    <w:p>
      <w:pPr>
        <w:jc w:val="center"/>
      </w:pPr>
      <w:r>
        <w:rPr>
          <w:b w:val="0"/>
          <w:color w:val="1F3364"/>
          <w:sz w:val="32"/>
        </w:rPr>
        <w:t>at Castleforbes House, D01 A8N0</w:t>
      </w:r>
    </w:p>
    <w:p>
      <w:r>
        <w:br w:type="page"/>
      </w:r>
    </w:p>
    <w:tbl>
      <w:tblPr>
        <w:tblStyle w:val="TableGrid"/>
        <w:tblW w:type="auto" w:w="0"/>
        <w:tblLook w:firstColumn="1" w:firstRow="1" w:lastColumn="0" w:lastRow="0" w:noHBand="0" w:noVBand="1" w:val="04A0"/>
      </w:tblPr>
      <w:tblGrid>
        <w:gridCol w:w="4320"/>
        <w:gridCol w:w="4320"/>
      </w:tblGrid>
      <w:tr>
        <w:tc>
          <w:tcPr>
            <w:tcW w:type="dxa" w:w="3456"/>
            <w:shd w:val="clear" w:fill="E7EBF3"/>
          </w:tcPr>
          <w:p>
            <w:r/>
            <w:r>
              <w:rPr>
                <w:b/>
                <w:sz w:val="22"/>
              </w:rPr>
              <w:t>Contracting Authority:</w:t>
            </w:r>
          </w:p>
        </w:tc>
        <w:tc>
          <w:tcPr>
            <w:tcW w:type="dxa" w:w="5904"/>
          </w:tcPr>
          <w:p>
            <w:r/>
            <w:r>
              <w:rPr>
                <w:b w:val="0"/>
                <w:sz w:val="22"/>
              </w:rPr>
              <w:t>SOLAS – Further Education &amp; Training Authority</w:t>
            </w:r>
          </w:p>
        </w:tc>
      </w:tr>
      <w:tr>
        <w:tc>
          <w:tcPr>
            <w:tcW w:type="dxa" w:w="3456"/>
            <w:shd w:val="clear" w:fill="E7EBF3"/>
          </w:tcPr>
          <w:p>
            <w:r/>
            <w:r>
              <w:rPr>
                <w:b/>
                <w:sz w:val="22"/>
              </w:rPr>
              <w:t>Title of Procurement</w:t>
            </w:r>
          </w:p>
        </w:tc>
        <w:tc>
          <w:tcPr>
            <w:tcW w:type="dxa" w:w="5904"/>
          </w:tcPr>
          <w:p>
            <w:r/>
            <w:r>
              <w:rPr>
                <w:b w:val="0"/>
                <w:sz w:val="22"/>
              </w:rPr>
              <w:t>Refresh of AV equipment throughout SOLAS at Castleforbes House, D01 A8N0</w:t>
            </w:r>
          </w:p>
        </w:tc>
      </w:tr>
      <w:tr>
        <w:tc>
          <w:tcPr>
            <w:tcW w:type="dxa" w:w="3456"/>
            <w:shd w:val="clear" w:fill="E7EBF3"/>
          </w:tcPr>
          <w:p>
            <w:r/>
            <w:r>
              <w:rPr>
                <w:b/>
                <w:sz w:val="22"/>
              </w:rPr>
              <w:t>eTenders ID</w:t>
            </w:r>
          </w:p>
        </w:tc>
        <w:tc>
          <w:tcPr>
            <w:tcW w:type="dxa" w:w="5904"/>
          </w:tcPr>
          <w:p>
            <w:r/>
            <w:r>
              <w:rPr>
                <w:b w:val="0"/>
                <w:sz w:val="22"/>
              </w:rPr>
              <w:t>7449225</w:t>
            </w:r>
          </w:p>
        </w:tc>
      </w:tr>
      <w:tr>
        <w:tc>
          <w:tcPr>
            <w:tcW w:type="dxa" w:w="3456"/>
            <w:shd w:val="clear" w:fill="E7EBF3"/>
          </w:tcPr>
          <w:p>
            <w:r/>
            <w:r>
              <w:rPr>
                <w:b/>
                <w:sz w:val="22"/>
              </w:rPr>
              <w:t>Procedure:</w:t>
            </w:r>
          </w:p>
        </w:tc>
        <w:tc>
          <w:tcPr>
            <w:tcW w:type="dxa" w:w="5904"/>
          </w:tcPr>
          <w:p>
            <w:r/>
            <w:r>
              <w:rPr>
                <w:b w:val="0"/>
                <w:sz w:val="22"/>
              </w:rPr>
              <w:t>Competitive Dialogue</w:t>
            </w:r>
          </w:p>
        </w:tc>
      </w:tr>
      <w:tr>
        <w:tc>
          <w:tcPr>
            <w:tcW w:type="dxa" w:w="3456"/>
            <w:shd w:val="clear" w:fill="E7EBF3"/>
          </w:tcPr>
          <w:p>
            <w:r/>
            <w:r>
              <w:rPr>
                <w:b/>
                <w:sz w:val="22"/>
              </w:rPr>
              <w:t>Stage in procedure:</w:t>
            </w:r>
          </w:p>
        </w:tc>
        <w:tc>
          <w:tcPr>
            <w:tcW w:type="dxa" w:w="5904"/>
          </w:tcPr>
          <w:p>
            <w:r/>
            <w:r>
              <w:rPr>
                <w:b w:val="0"/>
                <w:sz w:val="22"/>
              </w:rPr>
              <w:t>Stage 2 – Descriptive Dialogue</w:t>
            </w:r>
          </w:p>
        </w:tc>
      </w:tr>
      <w:tr>
        <w:tc>
          <w:tcPr>
            <w:tcW w:type="dxa" w:w="3456"/>
            <w:shd w:val="clear" w:fill="E7EBF3"/>
          </w:tcPr>
          <w:p>
            <w:r/>
            <w:r>
              <w:rPr>
                <w:b/>
                <w:sz w:val="22"/>
              </w:rPr>
              <w:t>Issue Date</w:t>
            </w:r>
          </w:p>
        </w:tc>
        <w:tc>
          <w:tcPr>
            <w:tcW w:type="dxa" w:w="5904"/>
          </w:tcPr>
          <w:p>
            <w:r/>
            <w:r>
              <w:rPr>
                <w:b w:val="0"/>
                <w:sz w:val="22"/>
              </w:rPr>
              <w:t>11 May 2026</w:t>
            </w:r>
          </w:p>
        </w:tc>
      </w:tr>
      <w:tr>
        <w:tc>
          <w:tcPr>
            <w:tcW w:type="dxa" w:w="3456"/>
            <w:shd w:val="clear" w:fill="E7EBF3"/>
          </w:tcPr>
          <w:p>
            <w:r/>
            <w:r>
              <w:rPr>
                <w:b/>
                <w:sz w:val="22"/>
              </w:rPr>
              <w:t>Queries</w:t>
            </w:r>
          </w:p>
        </w:tc>
        <w:tc>
          <w:tcPr>
            <w:tcW w:type="dxa" w:w="5904"/>
          </w:tcPr>
          <w:p>
            <w:r/>
            <w:r>
              <w:rPr>
                <w:b w:val="0"/>
                <w:sz w:val="22"/>
              </w:rPr>
              <w:t>Via eTenders messaging</w:t>
            </w:r>
          </w:p>
        </w:tc>
      </w:tr>
      <w:tr>
        <w:tc>
          <w:tcPr>
            <w:tcW w:type="dxa" w:w="3456"/>
            <w:shd w:val="clear" w:fill="E7EBF3"/>
          </w:tcPr>
          <w:p>
            <w:r/>
            <w:r>
              <w:rPr>
                <w:b/>
                <w:sz w:val="22"/>
              </w:rPr>
              <w:t>Final Date for Queries</w:t>
            </w:r>
          </w:p>
        </w:tc>
        <w:tc>
          <w:tcPr>
            <w:tcW w:type="dxa" w:w="5904"/>
          </w:tcPr>
          <w:p>
            <w:r/>
            <w:r>
              <w:rPr>
                <w:b w:val="0"/>
                <w:sz w:val="22"/>
              </w:rPr>
              <w:t>5 June 2026</w:t>
            </w:r>
          </w:p>
        </w:tc>
      </w:tr>
    </w:tbl>
    <w:p>
      <w:r>
        <w:br w:type="page"/>
      </w:r>
    </w:p>
    <w:p>
      <w:pPr>
        <w:pStyle w:val="Heading1"/>
      </w:pPr>
      <w:r>
        <w:t>Table of Contents</w:t>
      </w:r>
    </w:p>
    <w:p>
      <w:r>
        <w:rPr>
          <w:i/>
          <w:color w:val="808080"/>
          <w:sz w:val="18"/>
        </w:rPr>
        <w:t>Right-click and choose “Update Field” to populate page numbers.</w:t>
      </w:r>
    </w:p>
    <w:p>
      <w:r>
        <w:fldChar w:fldCharType="begin"/>
        <w:instrText xml:space="preserve">TOC \o "1-2" \h \z \u</w:instrText>
        <w:fldChar w:fldCharType="separate"/>
        <w:t>Table of contents will appear here after updating.</w:t>
        <w:fldChar w:fldCharType="end"/>
      </w:r>
    </w:p>
    <w:p>
      <w:r>
        <w:br w:type="page"/>
      </w:r>
    </w:p>
    <w:p>
      <w:pPr>
        <w:pStyle w:val="Heading1"/>
      </w:pPr>
      <w:r>
        <w:t>Part 1: Introduction</w:t>
      </w:r>
    </w:p>
    <w:p>
      <w:pPr>
        <w:pStyle w:val="Heading2"/>
      </w:pPr>
      <w:r>
        <w:t>1.1  Purpose of This Document</w:t>
      </w:r>
    </w:p>
    <w:p>
      <w:r>
        <w:t>The purpose of this document is to initiate the dialogue phase of the Competitive Dialogue procurement process with selected suppliers for the purpose of procuring the refresh of AV equipment for SOLAS at Castleforbes House, Dublin. This document is issued only to suppliers that have been selected following the earlier Contract Notice inviting Requests to Participate phase of this procurement process.</w:t>
      </w:r>
    </w:p>
    <w:p>
      <w:r>
        <w:t>A detailed statement of requirements is presented in Part 3 of this document. It should be noted that it is a fundamental requirement that the solutions implemented must facilitate compliance with all Irish legal and statutory obligations.</w:t>
      </w:r>
    </w:p>
    <w:p>
      <w:r>
        <w:t>This document should be held in confidence by the receiver and must not be disclosed to third parties or individuals within the receiving organisation that are not connected with this procurement process.</w:t>
      </w:r>
    </w:p>
    <w:p>
      <w:r>
        <w:t>Suppliers that indicate willingness to participate in Competitive Dialogue are referred to as ‘participants’ in this document. This document constitutes a ‘Descriptive Document’ as described in the EU legislation on public procurement under the Competitive Dialogue procedure. Further information on the Competitive Dialogue process and how it is intended to be implemented by SOLAS for the purposes of this procurement is provided in Part 2 of this document.</w:t>
      </w:r>
    </w:p>
    <w:p>
      <w:pPr>
        <w:pStyle w:val="Heading2"/>
      </w:pPr>
      <w:r>
        <w:t>1.2  Objectives of This Document</w:t>
      </w:r>
    </w:p>
    <w:p>
      <w:r>
        <w:t>The objectives of this document are:</w:t>
      </w:r>
    </w:p>
    <w:p>
      <w:pPr>
        <w:pStyle w:val="ListBullet"/>
      </w:pPr>
      <w:r>
        <w:t>To invite selected participants to engage in the Competitive Dialogue process and to receive confirmation from suppliers that they are willing to participate in this process.</w:t>
      </w:r>
    </w:p>
    <w:p>
      <w:pPr>
        <w:pStyle w:val="ListBullet"/>
      </w:pPr>
      <w:r>
        <w:t>To provide participants with information on how SOLAS wishes to conduct the Competitive Dialogue process, the anticipated stages and timescales, the type of documentation and information that will be exchanged between the parties and what is expected of the participants.</w:t>
      </w:r>
    </w:p>
    <w:p>
      <w:pPr>
        <w:pStyle w:val="ListBullet"/>
      </w:pPr>
      <w:r>
        <w:t>To allow further information to be provided to participants regarding the context and requirements for which SOLAS is seeking solutions.</w:t>
      </w:r>
    </w:p>
    <w:p>
      <w:pPr>
        <w:pStyle w:val="Heading2"/>
      </w:pPr>
      <w:r>
        <w:t>1.3  Structure and Scope of This Document</w:t>
      </w:r>
    </w:p>
    <w:p>
      <w:r>
        <w:t>This document contains the following main sections:</w:t>
      </w:r>
    </w:p>
    <w:p>
      <w:pPr>
        <w:pStyle w:val="ListBullet"/>
      </w:pPr>
      <w:r>
        <w:t>Part 1: Introduction – this section.</w:t>
      </w:r>
    </w:p>
    <w:p>
      <w:pPr>
        <w:pStyle w:val="ListBullet"/>
      </w:pPr>
      <w:r>
        <w:t>Part 2: The Procurement Process – Information for Participants provides instructions and information for participants in relation to how the Competitive Dialogue process is to be conducted and what is expected of participants.</w:t>
      </w:r>
    </w:p>
    <w:p>
      <w:pPr>
        <w:pStyle w:val="ListBullet"/>
      </w:pPr>
      <w:r>
        <w:t>Part 3: Statement of Requirements – Outlines the statement of requirements for the project.</w:t>
      </w:r>
    </w:p>
    <w:p>
      <w:pPr>
        <w:pStyle w:val="Heading2"/>
      </w:pPr>
      <w:r>
        <w:t>1.4  Terminology</w:t>
      </w:r>
    </w:p>
    <w:p>
      <w:r>
        <w:t>SOLAS is the Contracting Authority for this procurement process. It will appoint an Evaluation Team for the purposes of engaging in the dialogues and conducting any subsequent tender evaluation. The Evaluation Team may at times be joined during the dialogue phase by other SOLAS personnel.</w:t>
      </w:r>
    </w:p>
    <w:p>
      <w:r>
        <w:t>The term Participant refers to the legal entity (and their employees, agents and partners) acting as the prime contractor with whom the Contracting Authority is entering the dialogue phase of the Competitive Dialogue procedure, and with whom any contracts would be subsequently signed.</w:t>
      </w:r>
    </w:p>
    <w:p>
      <w:r>
        <w:br w:type="page"/>
      </w:r>
    </w:p>
    <w:p>
      <w:pPr>
        <w:pStyle w:val="Heading1"/>
      </w:pPr>
      <w:r>
        <w:t>Part 2: The Procurement Process</w:t>
      </w:r>
    </w:p>
    <w:p>
      <w:r>
        <w:t>The Competitive Dialogue Procedure is a three-stage procurement process; suppliers must have been successful at a previous stage to be invited to participate in a subsequent stage – see Figure 1 below:</w:t>
      </w:r>
    </w:p>
    <w:p>
      <w:pPr>
        <w:pStyle w:val="ListBullet"/>
      </w:pPr>
      <w:r>
        <w:t>Stage 1 – Prequalification</w:t>
      </w:r>
    </w:p>
    <w:p>
      <w:pPr>
        <w:pStyle w:val="ListBullet"/>
      </w:pPr>
      <w:r>
        <w:t>Stage 2 – Dialogue Phase (i.e. the current phase)</w:t>
      </w:r>
    </w:p>
    <w:p>
      <w:pPr>
        <w:pStyle w:val="ListBullet"/>
      </w:pPr>
      <w:r>
        <w:t>Stage 3 – Submission of formal tender and tender evaluation</w:t>
      </w:r>
    </w:p>
    <w:p>
      <w:r>
        <w:t>This section provides information to participants in relation to Stages 2 and 3 of the Competitive Dialogue process that is intended to be followed by SOLAS for the purpose of selecting a suitable solution for the provision of the refresh of AV equipment.</w:t>
      </w:r>
    </w:p>
    <w:p>
      <w:r>
        <w:t>SOLAS shall observe the principle of equal treatment and the other principles and regulations as set out in the EU legislation for public procurement (as transposed into Irish law) under the Competitive Dialogue procedure. This section describes a process which adheres to the EU Competitive Dialogue procedure.</w:t>
      </w:r>
    </w:p>
    <w:p>
      <w:r>
        <w:t>SOLAS reserves the right to amend the details of this process and its schedule as the process progresses. Participants involved in the process will be consulted and informed of any changes.</w:t>
      </w:r>
    </w:p>
    <w:p>
      <w:r>
        <w:t>In setting out this process every effort has been made to make the process as efficient as possible for both SOLAS and participants while providing sufficient time to evaluate solutions proposed by participants and to assess the alignment of solutions with requirements to select a solution that is the most appropriate and economically advantageous for SOLAS.</w:t>
      </w:r>
    </w:p>
    <w:p>
      <w:pPr>
        <w:pStyle w:val="Heading2"/>
      </w:pPr>
      <w:r>
        <w:t>Figure 1 – Competitive Dialogue Process Overview</w:t>
      </w:r>
    </w:p>
    <w:tbl>
      <w:tblPr>
        <w:tblStyle w:val="TableGrid"/>
        <w:tblW w:type="auto" w:w="0"/>
        <w:jc w:val="center"/>
        <w:tblLook w:firstColumn="1" w:firstRow="1" w:lastColumn="0" w:lastRow="0" w:noHBand="0" w:noVBand="1" w:val="04A0"/>
      </w:tblPr>
      <w:tblGrid>
        <w:gridCol w:w="2880"/>
        <w:gridCol w:w="2880"/>
        <w:gridCol w:w="2880"/>
      </w:tblGrid>
      <w:tr>
        <w:tc>
          <w:tcPr>
            <w:tcW w:type="dxa" w:w="3125"/>
            <w:shd w:val="clear" w:fill="1F3364"/>
          </w:tcPr>
          <w:p>
            <w:r/>
            <w:r>
              <w:rPr>
                <w:b/>
                <w:color w:val="FFFFFF"/>
                <w:sz w:val="22"/>
              </w:rPr>
              <w:t>Stage 1</w:t>
            </w:r>
          </w:p>
          <w:p>
            <w:r>
              <w:rPr>
                <w:b/>
                <w:color w:val="FFFFFF"/>
                <w:sz w:val="22"/>
              </w:rPr>
              <w:t>(Request for Participation)</w:t>
            </w:r>
          </w:p>
        </w:tc>
        <w:tc>
          <w:tcPr>
            <w:tcW w:type="dxa" w:w="3125"/>
            <w:shd w:val="clear" w:fill="1F3364"/>
          </w:tcPr>
          <w:p>
            <w:r/>
            <w:r>
              <w:rPr>
                <w:b/>
                <w:color w:val="FFFFFF"/>
                <w:sz w:val="22"/>
              </w:rPr>
              <w:t>Stage 2</w:t>
            </w:r>
          </w:p>
          <w:p>
            <w:r>
              <w:rPr>
                <w:b/>
                <w:color w:val="FFFFFF"/>
                <w:sz w:val="22"/>
              </w:rPr>
              <w:t>(Descriptive Dialogue)</w:t>
            </w:r>
          </w:p>
        </w:tc>
        <w:tc>
          <w:tcPr>
            <w:tcW w:type="dxa" w:w="3125"/>
            <w:shd w:val="clear" w:fill="1F3364"/>
          </w:tcPr>
          <w:p>
            <w:r/>
            <w:r>
              <w:rPr>
                <w:b/>
                <w:color w:val="FFFFFF"/>
                <w:sz w:val="22"/>
              </w:rPr>
              <w:t>Stage 3</w:t>
            </w:r>
          </w:p>
          <w:p>
            <w:r>
              <w:rPr>
                <w:b/>
                <w:color w:val="FFFFFF"/>
                <w:sz w:val="22"/>
              </w:rPr>
              <w:t>(Close Dialogue &amp; invite final tenders)</w:t>
            </w:r>
          </w:p>
        </w:tc>
      </w:tr>
      <w:tr>
        <w:tc>
          <w:tcPr>
            <w:tcW w:type="dxa" w:w="3125"/>
          </w:tcPr>
          <w:p>
            <w:r/>
            <w:r>
              <w:rPr>
                <w:b w:val="0"/>
                <w:sz w:val="22"/>
              </w:rPr>
              <w:t>Set out key information about the required solution and selection criteria and rules in a questionnaire.</w:t>
            </w:r>
          </w:p>
        </w:tc>
        <w:tc>
          <w:tcPr>
            <w:tcW w:type="dxa" w:w="3125"/>
          </w:tcPr>
          <w:p>
            <w:r/>
            <w:r>
              <w:rPr>
                <w:b w:val="0"/>
                <w:sz w:val="22"/>
              </w:rPr>
              <w:t>Issue Invitations to participate in Dialogue with the Descriptive Document inclusive of the award criteria and weightings.</w:t>
            </w:r>
          </w:p>
        </w:tc>
        <w:tc>
          <w:tcPr>
            <w:tcW w:type="dxa" w:w="3125"/>
          </w:tcPr>
          <w:p>
            <w:r/>
            <w:r>
              <w:rPr>
                <w:b w:val="0"/>
                <w:sz w:val="22"/>
              </w:rPr>
              <w:t>Invitations to Tender to firms deemed to have suitable solutions based on assessment against award criteria.</w:t>
            </w:r>
          </w:p>
        </w:tc>
      </w:tr>
      <w:tr>
        <w:tc>
          <w:tcPr>
            <w:tcW w:type="dxa" w:w="3125"/>
          </w:tcPr>
          <w:p>
            <w:r/>
            <w:r>
              <w:rPr>
                <w:b w:val="0"/>
                <w:sz w:val="22"/>
              </w:rPr>
              <w:t>Publish Call for Competition in OJEU.</w:t>
            </w:r>
          </w:p>
        </w:tc>
        <w:tc>
          <w:tcPr>
            <w:tcW w:type="dxa" w:w="3125"/>
          </w:tcPr>
          <w:p>
            <w:r/>
            <w:r>
              <w:rPr>
                <w:b w:val="0"/>
                <w:sz w:val="22"/>
              </w:rPr>
              <w:t>Conduct of Dialogue of solutions.</w:t>
            </w:r>
          </w:p>
        </w:tc>
        <w:tc>
          <w:tcPr>
            <w:tcW w:type="dxa" w:w="3125"/>
          </w:tcPr>
          <w:p>
            <w:r/>
            <w:r>
              <w:rPr>
                <w:b w:val="0"/>
                <w:sz w:val="22"/>
              </w:rPr>
              <w:t>Notify unsuccessful Participants in dialogue.</w:t>
            </w:r>
          </w:p>
        </w:tc>
      </w:tr>
      <w:tr>
        <w:tc>
          <w:tcPr>
            <w:tcW w:type="dxa" w:w="3125"/>
          </w:tcPr>
          <w:p>
            <w:r/>
            <w:r>
              <w:rPr>
                <w:b w:val="0"/>
                <w:sz w:val="22"/>
              </w:rPr>
              <w:t>Receipt of Applications (Minimum 30 Days).</w:t>
            </w:r>
          </w:p>
        </w:tc>
        <w:tc>
          <w:tcPr>
            <w:tcW w:type="dxa" w:w="3125"/>
          </w:tcPr>
          <w:p>
            <w:r/>
            <w:r>
              <w:rPr>
                <w:b w:val="0"/>
                <w:sz w:val="22"/>
              </w:rPr>
              <w:t>Application of Award Criteria to reduce participants. Repeat as many times as necessary.</w:t>
            </w:r>
          </w:p>
        </w:tc>
        <w:tc>
          <w:tcPr>
            <w:tcW w:type="dxa" w:w="3125"/>
          </w:tcPr>
          <w:p>
            <w:r/>
            <w:r>
              <w:rPr>
                <w:b w:val="0"/>
                <w:sz w:val="22"/>
              </w:rPr>
              <w:t>Identify Most Economically Advantageous Tender.</w:t>
            </w:r>
          </w:p>
        </w:tc>
      </w:tr>
      <w:tr>
        <w:tc>
          <w:tcPr>
            <w:tcW w:type="dxa" w:w="3125"/>
          </w:tcPr>
          <w:p>
            <w:r/>
            <w:r>
              <w:rPr>
                <w:b w:val="0"/>
                <w:sz w:val="22"/>
              </w:rPr>
              <w:t>Selection of Suitable Candidates.</w:t>
            </w:r>
          </w:p>
        </w:tc>
        <w:tc>
          <w:tcPr>
            <w:tcW w:type="dxa" w:w="3125"/>
          </w:tcPr>
          <w:p>
            <w:r/>
            <w:r>
              <w:rPr>
                <w:b w:val="0"/>
                <w:sz w:val="22"/>
              </w:rPr>
              <w:t>Termination of Dialogue Stage.</w:t>
            </w:r>
          </w:p>
        </w:tc>
        <w:tc>
          <w:tcPr>
            <w:tcW w:type="dxa" w:w="3125"/>
          </w:tcPr>
          <w:p>
            <w:r/>
            <w:r>
              <w:rPr>
                <w:b w:val="0"/>
                <w:sz w:val="22"/>
              </w:rPr>
              <w:t>Contract Award after 14-day standstill.</w:t>
            </w:r>
          </w:p>
        </w:tc>
      </w:tr>
      <w:tr>
        <w:tc>
          <w:tcPr>
            <w:tcW w:type="dxa" w:w="3125"/>
          </w:tcPr>
          <w:p>
            <w:r/>
            <w:r>
              <w:rPr>
                <w:b w:val="0"/>
                <w:sz w:val="22"/>
              </w:rPr>
              <w:t>Notify Unsuccessful Candidates.</w:t>
            </w:r>
          </w:p>
        </w:tc>
        <w:tc>
          <w:tcPr>
            <w:tcW w:type="dxa" w:w="3125"/>
          </w:tcPr>
          <w:p>
            <w:r/>
            <w:r>
              <w:rPr>
                <w:b w:val="0"/>
                <w:sz w:val="22"/>
              </w:rPr>
            </w:r>
          </w:p>
        </w:tc>
        <w:tc>
          <w:tcPr>
            <w:tcW w:type="dxa" w:w="3125"/>
          </w:tcPr>
          <w:p>
            <w:r/>
            <w:r>
              <w:rPr>
                <w:b w:val="0"/>
                <w:sz w:val="22"/>
              </w:rPr>
              <w:t>Notify successful Tenderer / Regrets to unsuccessful Tenderers; Publish Award Notice (despatch within 48 days of Award).</w:t>
            </w:r>
          </w:p>
        </w:tc>
      </w:tr>
    </w:tbl>
    <w:p>
      <w:pPr>
        <w:pStyle w:val="Heading2"/>
      </w:pPr>
      <w:r>
        <w:t>2.1  Stage 2 – Descriptive Dialogue Stage</w:t>
      </w:r>
    </w:p>
    <w:p>
      <w:r>
        <w:t>In high-level terms, the process involves:</w:t>
      </w:r>
    </w:p>
    <w:p>
      <w:pPr>
        <w:pStyle w:val="ListBullet"/>
      </w:pPr>
      <w:r>
        <w:t>Following successful selection and invitation to participate in the dialogue phase, several structured meetings (dialogues) between SOLAS and each participant to understand and clarify participant proposed solutions.</w:t>
      </w:r>
    </w:p>
    <w:p>
      <w:pPr>
        <w:pStyle w:val="ListBullet"/>
      </w:pPr>
      <w:r>
        <w:t>After each dialogue, the submission by each participant of an outline of their Proposed Solution(s), to generally meet the Statement of Requirements in Part 3 and address the award criteria in Part 2 including indicative cost proposals.</w:t>
      </w:r>
    </w:p>
    <w:p>
      <w:pPr>
        <w:pStyle w:val="ListBullet"/>
      </w:pPr>
      <w:r>
        <w:t>The assessment and formal evaluation (if required) of outline solutions proposed to identify participants with valid solutions to be invited to continue in the dialogue.</w:t>
      </w:r>
    </w:p>
    <w:p>
      <w:pPr>
        <w:pStyle w:val="ListBullet"/>
      </w:pPr>
      <w:r>
        <w:t>Formal closure of the dialogue phase of the process.</w:t>
      </w:r>
    </w:p>
    <w:p>
      <w:r>
        <w:t>The timing and content of subsequent stages may be dependent on the outcome of the previous stages.</w:t>
      </w:r>
    </w:p>
    <w:p>
      <w:pPr>
        <w:pStyle w:val="Heading2"/>
      </w:pPr>
      <w:r>
        <w:t>2.2  Dialogues</w:t>
      </w:r>
    </w:p>
    <w:p>
      <w:r>
        <w:t>SOLAS intends to use the Dialogue Phase as an opportunity for participants to provide the necessary level of information to allow SOLAS to gain a sufficient understanding of their proposed solutions and determine their suitability within the context of SOLAS’s requirements. To this end the Dialogue Phase is aimed at providing participants with a framework to explain and justify to SOLAS in an objective manner why their proposal is both the most practical and deliverable solution that also represents value for money. The Dialogue Phase will provide a forum for discussion around the strengths and weaknesses of proposed solutions against each of the award criteria.</w:t>
      </w:r>
    </w:p>
    <w:p>
      <w:r>
        <w:t>The purpose of the dialogue sessions is to encourage a productive information flow between SOLAS and each participant, and to ensure that participants fully understand SOLAS’s requirements and that SOLAS gain a sound understanding of each participant’s proposal(s).</w:t>
      </w:r>
    </w:p>
    <w:p>
      <w:r>
        <w:t>The format of the agenda, for the first dialogue session, will be strictly controlled and is set out in Table 1 below.</w:t>
      </w:r>
    </w:p>
    <w:tbl>
      <w:tblPr>
        <w:tblStyle w:val="TableGrid"/>
        <w:tblW w:type="auto" w:w="0"/>
        <w:jc w:val="center"/>
        <w:tblLook w:firstColumn="1" w:firstRow="1" w:lastColumn="0" w:lastRow="0" w:noHBand="0" w:noVBand="1" w:val="04A0"/>
      </w:tblPr>
      <w:tblGrid>
        <w:gridCol w:w="4320"/>
        <w:gridCol w:w="4320"/>
      </w:tblGrid>
      <w:tr>
        <w:tc>
          <w:tcPr>
            <w:tcW w:type="dxa" w:w="2304"/>
            <w:shd w:val="clear" w:fill="1F3364"/>
          </w:tcPr>
          <w:p>
            <w:r/>
            <w:r>
              <w:rPr>
                <w:b/>
                <w:color w:val="FFFFFF"/>
                <w:sz w:val="22"/>
              </w:rPr>
              <w:t>Time (minutes)</w:t>
            </w:r>
          </w:p>
        </w:tc>
        <w:tc>
          <w:tcPr>
            <w:tcW w:type="dxa" w:w="7056"/>
            <w:shd w:val="clear" w:fill="1F3364"/>
          </w:tcPr>
          <w:p>
            <w:r/>
            <w:r>
              <w:rPr>
                <w:b/>
                <w:color w:val="FFFFFF"/>
                <w:sz w:val="22"/>
              </w:rPr>
              <w:t>Item</w:t>
            </w:r>
          </w:p>
        </w:tc>
      </w:tr>
      <w:tr>
        <w:tc>
          <w:tcPr>
            <w:tcW w:type="dxa" w:w="2304"/>
          </w:tcPr>
          <w:p>
            <w:r/>
            <w:r>
              <w:rPr>
                <w:b w:val="0"/>
                <w:sz w:val="22"/>
              </w:rPr>
              <w:t>0 – 15</w:t>
            </w:r>
          </w:p>
        </w:tc>
        <w:tc>
          <w:tcPr>
            <w:tcW w:type="dxa" w:w="7056"/>
          </w:tcPr>
          <w:p>
            <w:r/>
            <w:r>
              <w:rPr>
                <w:b w:val="0"/>
                <w:sz w:val="22"/>
              </w:rPr>
              <w:t>Introductions</w:t>
            </w:r>
          </w:p>
          <w:p>
            <w:r>
              <w:rPr>
                <w:b w:val="0"/>
                <w:sz w:val="22"/>
              </w:rPr>
              <w:t>Explanation of Ground Rules by SOLAS</w:t>
            </w:r>
          </w:p>
          <w:p>
            <w:r>
              <w:rPr>
                <w:b w:val="0"/>
                <w:sz w:val="22"/>
              </w:rPr>
              <w:t>Brief overview of SOLAS</w:t>
            </w:r>
          </w:p>
          <w:p>
            <w:r>
              <w:rPr>
                <w:b w:val="0"/>
                <w:sz w:val="22"/>
              </w:rPr>
              <w:t>Brief overview of Participant</w:t>
            </w:r>
          </w:p>
        </w:tc>
      </w:tr>
      <w:tr>
        <w:tc>
          <w:tcPr>
            <w:tcW w:type="dxa" w:w="2304"/>
          </w:tcPr>
          <w:p>
            <w:r/>
            <w:r>
              <w:rPr>
                <w:b w:val="0"/>
                <w:sz w:val="22"/>
              </w:rPr>
              <w:t>16 – 60*</w:t>
            </w:r>
          </w:p>
        </w:tc>
        <w:tc>
          <w:tcPr>
            <w:tcW w:type="dxa" w:w="7056"/>
          </w:tcPr>
          <w:p>
            <w:r/>
            <w:r>
              <w:rPr>
                <w:b w:val="0"/>
                <w:sz w:val="22"/>
              </w:rPr>
              <w:t>Outline Presentation of proposed solution(s) including case studies, previous experience, etc. by Participant</w:t>
            </w:r>
          </w:p>
        </w:tc>
      </w:tr>
      <w:tr>
        <w:tc>
          <w:tcPr>
            <w:tcW w:type="dxa" w:w="2304"/>
          </w:tcPr>
          <w:p>
            <w:r/>
            <w:r>
              <w:rPr>
                <w:b w:val="0"/>
                <w:sz w:val="22"/>
              </w:rPr>
              <w:t>60 – 90*</w:t>
            </w:r>
          </w:p>
        </w:tc>
        <w:tc>
          <w:tcPr>
            <w:tcW w:type="dxa" w:w="7056"/>
          </w:tcPr>
          <w:p>
            <w:r/>
            <w:r>
              <w:rPr>
                <w:b w:val="0"/>
                <w:sz w:val="22"/>
              </w:rPr>
              <w:t>Questions</w:t>
            </w:r>
          </w:p>
        </w:tc>
      </w:tr>
    </w:tbl>
    <w:p>
      <w:r>
        <w:rPr>
          <w:b/>
          <w:sz w:val="18"/>
        </w:rPr>
        <w:t>Table 1 – Dialogue 1 – Agenda</w:t>
      </w:r>
    </w:p>
    <w:p>
      <w:r>
        <w:rPr>
          <w:i/>
          <w:sz w:val="18"/>
        </w:rPr>
        <w:t>(* to facilitate the dialogue process and the free flow of information, the presentation and questions may all be taken as one session)</w:t>
      </w:r>
    </w:p>
    <w:p>
      <w:r>
        <w:t>To ensure the maximum value from the ‘Outline Presentation’, and to best inform the Tender Evaluation Team about any proposed solution(s), the following is a suggested outline of the areas which should be covered in the presentation and participants should allocate sufficient time to each of these items:</w:t>
      </w:r>
    </w:p>
    <w:p>
      <w:pPr>
        <w:pStyle w:val="ListBullet"/>
      </w:pPr>
      <w:r>
        <w:t>Proposed solution.</w:t>
      </w:r>
    </w:p>
    <w:p>
      <w:pPr>
        <w:pStyle w:val="ListBullet"/>
      </w:pPr>
      <w:r>
        <w:t>Project approach, migration strategy (if relevant) and overall timeline / schedule.</w:t>
      </w:r>
    </w:p>
    <w:p>
      <w:pPr>
        <w:pStyle w:val="ListBullet"/>
      </w:pPr>
      <w:r>
        <w:t>Outline the skills, resources and relevant reference sites for your organisation(s).</w:t>
      </w:r>
    </w:p>
    <w:p>
      <w:pPr>
        <w:pStyle w:val="ListBullet"/>
      </w:pPr>
      <w:r>
        <w:t>Proposed licensing arrangements.</w:t>
      </w:r>
    </w:p>
    <w:p>
      <w:pPr>
        <w:pStyle w:val="ListBullet"/>
      </w:pPr>
      <w:r>
        <w:t>Details of proposed cost model.</w:t>
      </w:r>
    </w:p>
    <w:p>
      <w:r>
        <w:t>In the dialogue meeting, participants will be expected to present their ideas on possible suitable offers and solutions based on the requirements outlined in Part 3 of this document.</w:t>
      </w:r>
    </w:p>
    <w:p>
      <w:r>
        <w:t>It is anticipated that once the dialogue has been completed participants will have a better understanding of SOLAS’s requirements which should assist them in further refining their proposals.</w:t>
      </w:r>
    </w:p>
    <w:p>
      <w:r>
        <w:t>Following all dialogue sessions, participants are required to submit a documented summary of their then proposed solution(s) to SOLAS. This is to facilitate any decision about reducing the number of solutions to be discussed as provided for in the legislation governing the Competitive Dialogue Procedure. Any decision by the Evaluation Team to reduce the number of solutions will only be made by applying the award criteria as set out in Part 2.</w:t>
      </w:r>
    </w:p>
    <w:p>
      <w:r>
        <w:t>Please note that SOLAS reserves the right to require participants to confirm in writing aspects of their proposed solution that need to be clarified at any time during the dialogue phase.</w:t>
      </w:r>
    </w:p>
    <w:p>
      <w:r>
        <w:t>Participants remaining in the process may be invited to a second (or subsequent) dialogue session(s). The purpose of these further dialogue sessions is to explore in greater detail areas of interest and/or where additional information/evidence is required to consider the proposed solution(s). As with the first dialogue session, functional and implementation services/contractual areas, and commercials will be explored. The second (and any subsequent) dialogue sessions are expected to follow the same process as the first dialogue sessions and the agenda will be made known to participants in advance.</w:t>
      </w:r>
    </w:p>
    <w:p>
      <w:r>
        <w:t>SOLAS will continue the dialogue sessions, as required, until it can identify one or more solutions, at which point, SOLAS shall formally close the Dialogue Phase. It should be noted that one dialogue session may suffice and that SOLAS is under no obligation to hold more than one dialogue session.</w:t>
      </w:r>
    </w:p>
    <w:p>
      <w:pPr>
        <w:pStyle w:val="Heading2"/>
      </w:pPr>
      <w:r>
        <w:t>2.3  Stage 3 – Tender &amp; Evaluation Phase</w:t>
      </w:r>
    </w:p>
    <w:p>
      <w:r>
        <w:t>Once the Dialogue Phase has closed, the remaining participants will receive a formal invitation to submit tenders providing full and complete solutions considering the information provided in this descriptive document, the dialogues themselves, the invitation to tender document and any formal clarifications issued by SOLAS.</w:t>
      </w:r>
    </w:p>
    <w:p>
      <w:r>
        <w:t>Further details of the tender phase will be included in the invitation to tender documents.</w:t>
      </w:r>
    </w:p>
    <w:p>
      <w:r>
        <w:t>Following submission of tenders, SOLAS may request the participants to clarify, specify or fine tune their tenders, but any clarification, specification, fine tuning or additional information must not involve changes to the basic features of the tenders which are likely to distort competition or have a discriminatory effect.</w:t>
      </w:r>
    </w:p>
    <w:p>
      <w:pPr>
        <w:pStyle w:val="Heading2"/>
      </w:pPr>
      <w:r>
        <w:t>2.4  Tender Evaluation</w:t>
      </w:r>
    </w:p>
    <w:p>
      <w:r>
        <w:t>Evaluation of final tenders will take place as per the award criteria. This section describes the criteria that will be used to evaluate solutions, eliminate solutions, and identify a preferred solution/bidder. The contract, if awarded, will be awarded to the participant who submits the most economically advantageous tender to SOLAS.</w:t>
      </w:r>
    </w:p>
    <w:p>
      <w:r>
        <w:t>SOLAS has established an Evaluation Team using such resources and skills as it considers appropriate to assess and evaluate all tenders. Scores will be arrived at using objective evidence and the professional judgment of the members of the evaluation team. Marks will be awarded on a comparative basis against SOLAS’s requirements and the other participant’s tenders having regard to those factors which are adjudged under each of the criteria.</w:t>
      </w:r>
    </w:p>
    <w:p>
      <w:pPr>
        <w:pStyle w:val="Heading2"/>
      </w:pPr>
      <w:r>
        <w:t>2.5  Award Criteria</w:t>
      </w:r>
    </w:p>
    <w:tbl>
      <w:tblPr>
        <w:tblStyle w:val="TableGrid"/>
        <w:tblW w:type="auto" w:w="0"/>
        <w:jc w:val="center"/>
        <w:tblLook w:firstColumn="1" w:firstRow="1" w:lastColumn="0" w:lastRow="0" w:noHBand="0" w:noVBand="1" w:val="04A0"/>
      </w:tblPr>
      <w:tblGrid>
        <w:gridCol w:w="2880"/>
        <w:gridCol w:w="2880"/>
        <w:gridCol w:w="2880"/>
      </w:tblGrid>
      <w:tr>
        <w:tc>
          <w:tcPr>
            <w:tcW w:type="dxa" w:w="5616"/>
            <w:shd w:val="clear" w:fill="1F3364"/>
          </w:tcPr>
          <w:p>
            <w:r/>
            <w:r>
              <w:rPr>
                <w:b/>
                <w:color w:val="FFFFFF"/>
                <w:sz w:val="22"/>
              </w:rPr>
              <w:t>Award Criteria</w:t>
            </w:r>
          </w:p>
        </w:tc>
        <w:tc>
          <w:tcPr>
            <w:tcW w:type="dxa" w:w="1872"/>
            <w:shd w:val="clear" w:fill="1F3364"/>
          </w:tcPr>
          <w:p>
            <w:r/>
            <w:r>
              <w:rPr>
                <w:b/>
                <w:color w:val="FFFFFF"/>
                <w:sz w:val="22"/>
              </w:rPr>
              <w:t>Maximum Marks Available</w:t>
            </w:r>
          </w:p>
        </w:tc>
        <w:tc>
          <w:tcPr>
            <w:tcW w:type="dxa" w:w="1872"/>
            <w:shd w:val="clear" w:fill="1F3364"/>
          </w:tcPr>
          <w:p>
            <w:r/>
            <w:r>
              <w:rPr>
                <w:b/>
                <w:color w:val="FFFFFF"/>
                <w:sz w:val="22"/>
              </w:rPr>
              <w:t>Minimum Marks Required</w:t>
            </w:r>
          </w:p>
        </w:tc>
      </w:tr>
      <w:tr>
        <w:tc>
          <w:tcPr>
            <w:tcW w:type="dxa" w:w="5616"/>
          </w:tcPr>
          <w:p>
            <w:r/>
            <w:r>
              <w:rPr>
                <w:b w:val="0"/>
                <w:sz w:val="22"/>
              </w:rPr>
              <w:t>1  Project approach</w:t>
            </w:r>
          </w:p>
          <w:p>
            <w:r>
              <w:rPr>
                <w:b w:val="0"/>
                <w:sz w:val="22"/>
              </w:rPr>
              <w:t>Under this criterion the following will be assessed:</w:t>
            </w:r>
          </w:p>
          <w:p>
            <w:r>
              <w:rPr>
                <w:b w:val="0"/>
                <w:sz w:val="22"/>
              </w:rPr>
              <w:t>• Project approach and methodology</w:t>
            </w:r>
          </w:p>
          <w:p>
            <w:r>
              <w:rPr>
                <w:b w:val="0"/>
                <w:sz w:val="22"/>
              </w:rPr>
              <w:t>• Proposed timeframe</w:t>
            </w:r>
          </w:p>
          <w:p>
            <w:r>
              <w:rPr>
                <w:b w:val="0"/>
                <w:sz w:val="22"/>
              </w:rPr>
              <w:t>• Project plan</w:t>
            </w:r>
          </w:p>
          <w:p>
            <w:r>
              <w:rPr>
                <w:b w:val="0"/>
                <w:sz w:val="22"/>
              </w:rPr>
              <w:t>• Risk to project</w:t>
            </w:r>
          </w:p>
        </w:tc>
        <w:tc>
          <w:tcPr>
            <w:tcW w:type="dxa" w:w="1872"/>
          </w:tcPr>
          <w:p>
            <w:r/>
            <w:r>
              <w:rPr>
                <w:b w:val="0"/>
                <w:sz w:val="22"/>
              </w:rPr>
              <w:t>2,000</w:t>
            </w:r>
          </w:p>
        </w:tc>
        <w:tc>
          <w:tcPr>
            <w:tcW w:type="dxa" w:w="1872"/>
          </w:tcPr>
          <w:p>
            <w:r/>
            <w:r>
              <w:rPr>
                <w:b w:val="0"/>
                <w:sz w:val="22"/>
              </w:rPr>
              <w:t>1,500</w:t>
            </w:r>
          </w:p>
        </w:tc>
      </w:tr>
      <w:tr>
        <w:tc>
          <w:tcPr>
            <w:tcW w:type="dxa" w:w="5616"/>
          </w:tcPr>
          <w:p>
            <w:r/>
            <w:r>
              <w:rPr>
                <w:b w:val="0"/>
                <w:sz w:val="22"/>
              </w:rPr>
              <w:t>2  Proposed solution</w:t>
            </w:r>
          </w:p>
          <w:p>
            <w:r>
              <w:rPr>
                <w:b w:val="0"/>
                <w:sz w:val="22"/>
              </w:rPr>
              <w:t>Under this criterion the following will be assessed:</w:t>
            </w:r>
          </w:p>
          <w:p>
            <w:r>
              <w:rPr>
                <w:b w:val="0"/>
                <w:sz w:val="22"/>
              </w:rPr>
              <w:t>• Technical capabilities of solution</w:t>
            </w:r>
          </w:p>
          <w:p>
            <w:r>
              <w:rPr>
                <w:b w:val="0"/>
                <w:sz w:val="22"/>
              </w:rPr>
              <w:t>• Standardisation of proposal</w:t>
            </w:r>
          </w:p>
          <w:p>
            <w:r>
              <w:rPr>
                <w:b w:val="0"/>
                <w:sz w:val="22"/>
              </w:rPr>
              <w:t>• Usability for end user</w:t>
            </w:r>
          </w:p>
          <w:p>
            <w:r>
              <w:rPr>
                <w:b w:val="0"/>
                <w:sz w:val="22"/>
              </w:rPr>
              <w:t>• Accessibility</w:t>
            </w:r>
          </w:p>
          <w:p>
            <w:r>
              <w:rPr>
                <w:b w:val="0"/>
                <w:sz w:val="22"/>
              </w:rPr>
              <w:t>• Audience experience</w:t>
            </w:r>
          </w:p>
        </w:tc>
        <w:tc>
          <w:tcPr>
            <w:tcW w:type="dxa" w:w="1872"/>
          </w:tcPr>
          <w:p>
            <w:r/>
            <w:r>
              <w:rPr>
                <w:b w:val="0"/>
                <w:sz w:val="22"/>
              </w:rPr>
              <w:t>2,500</w:t>
            </w:r>
          </w:p>
        </w:tc>
        <w:tc>
          <w:tcPr>
            <w:tcW w:type="dxa" w:w="1872"/>
          </w:tcPr>
          <w:p>
            <w:r/>
            <w:r>
              <w:rPr>
                <w:b w:val="0"/>
                <w:sz w:val="22"/>
              </w:rPr>
              <w:t>1,500</w:t>
            </w:r>
          </w:p>
        </w:tc>
      </w:tr>
      <w:tr>
        <w:tc>
          <w:tcPr>
            <w:tcW w:type="dxa" w:w="5616"/>
          </w:tcPr>
          <w:p>
            <w:r/>
            <w:r>
              <w:rPr>
                <w:b w:val="0"/>
                <w:sz w:val="22"/>
              </w:rPr>
              <w:t>3  Proposed Team and Contract Management</w:t>
            </w:r>
          </w:p>
          <w:p>
            <w:r>
              <w:rPr>
                <w:b w:val="0"/>
                <w:sz w:val="22"/>
              </w:rPr>
              <w:t>Under this criterion the following will be assessed:</w:t>
            </w:r>
          </w:p>
          <w:p>
            <w:r>
              <w:rPr>
                <w:b w:val="0"/>
                <w:sz w:val="22"/>
              </w:rPr>
              <w:t>• The quality and experience of the personnel that will be available throughout the project</w:t>
            </w:r>
          </w:p>
          <w:p>
            <w:r>
              <w:rPr>
                <w:b w:val="0"/>
                <w:sz w:val="22"/>
              </w:rPr>
              <w:t>• System Support</w:t>
            </w:r>
          </w:p>
          <w:p>
            <w:r>
              <w:rPr>
                <w:b w:val="0"/>
                <w:sz w:val="22"/>
              </w:rPr>
              <w:t>• Response times</w:t>
            </w:r>
          </w:p>
          <w:p>
            <w:r>
              <w:rPr>
                <w:b w:val="0"/>
                <w:sz w:val="22"/>
              </w:rPr>
              <w:t>• Maintenance</w:t>
            </w:r>
          </w:p>
          <w:p>
            <w:r>
              <w:rPr>
                <w:b w:val="0"/>
                <w:sz w:val="22"/>
              </w:rPr>
              <w:t>• Escalation Process</w:t>
            </w:r>
          </w:p>
        </w:tc>
        <w:tc>
          <w:tcPr>
            <w:tcW w:type="dxa" w:w="1872"/>
          </w:tcPr>
          <w:p>
            <w:r/>
            <w:r>
              <w:rPr>
                <w:b w:val="0"/>
                <w:sz w:val="22"/>
              </w:rPr>
              <w:t>2,500</w:t>
            </w:r>
          </w:p>
        </w:tc>
        <w:tc>
          <w:tcPr>
            <w:tcW w:type="dxa" w:w="1872"/>
          </w:tcPr>
          <w:p>
            <w:r/>
            <w:r>
              <w:rPr>
                <w:b w:val="0"/>
                <w:sz w:val="22"/>
              </w:rPr>
              <w:t>1,200</w:t>
            </w:r>
          </w:p>
        </w:tc>
      </w:tr>
      <w:tr>
        <w:tc>
          <w:tcPr>
            <w:tcW w:type="dxa" w:w="5616"/>
          </w:tcPr>
          <w:p>
            <w:r/>
            <w:r>
              <w:rPr>
                <w:b w:val="0"/>
                <w:sz w:val="22"/>
              </w:rPr>
              <w:t>4  Cost</w:t>
            </w:r>
          </w:p>
        </w:tc>
        <w:tc>
          <w:tcPr>
            <w:tcW w:type="dxa" w:w="1872"/>
          </w:tcPr>
          <w:p>
            <w:r/>
            <w:r>
              <w:rPr>
                <w:b w:val="0"/>
                <w:sz w:val="22"/>
              </w:rPr>
              <w:t>3,000</w:t>
            </w:r>
          </w:p>
        </w:tc>
        <w:tc>
          <w:tcPr>
            <w:tcW w:type="dxa" w:w="1872"/>
          </w:tcPr>
          <w:p>
            <w:r/>
            <w:r>
              <w:rPr>
                <w:b w:val="0"/>
                <w:sz w:val="22"/>
              </w:rPr>
              <w:t>n/a</w:t>
            </w:r>
          </w:p>
        </w:tc>
      </w:tr>
      <w:tr>
        <w:tc>
          <w:tcPr>
            <w:tcW w:type="dxa" w:w="5616"/>
          </w:tcPr>
          <w:p>
            <w:r/>
            <w:r>
              <w:rPr>
                <w:b w:val="0"/>
                <w:sz w:val="22"/>
              </w:rPr>
              <w:t>Total</w:t>
            </w:r>
          </w:p>
        </w:tc>
        <w:tc>
          <w:tcPr>
            <w:tcW w:type="dxa" w:w="1872"/>
          </w:tcPr>
          <w:p>
            <w:r/>
            <w:r>
              <w:rPr>
                <w:b w:val="0"/>
                <w:sz w:val="22"/>
              </w:rPr>
              <w:t>10,000</w:t>
            </w:r>
          </w:p>
        </w:tc>
        <w:tc>
          <w:tcPr>
            <w:tcW w:type="dxa" w:w="1872"/>
          </w:tcPr>
          <w:p>
            <w:r/>
            <w:r>
              <w:rPr>
                <w:b w:val="0"/>
                <w:sz w:val="22"/>
              </w:rPr>
            </w:r>
          </w:p>
        </w:tc>
      </w:tr>
    </w:tbl>
    <w:p/>
    <w:p>
      <w:r>
        <w:rPr>
          <w:b/>
        </w:rPr>
        <w:t>Scoring Methodology for criteria 1, 2, and 3</w:t>
      </w:r>
    </w:p>
    <w:tbl>
      <w:tblPr>
        <w:tblStyle w:val="TableGrid"/>
        <w:tblW w:type="auto" w:w="0"/>
        <w:jc w:val="center"/>
        <w:tblLook w:firstColumn="1" w:firstRow="1" w:lastColumn="0" w:lastRow="0" w:noHBand="0" w:noVBand="1" w:val="04A0"/>
      </w:tblPr>
      <w:tblGrid>
        <w:gridCol w:w="4320"/>
        <w:gridCol w:w="4320"/>
      </w:tblGrid>
      <w:tr>
        <w:tc>
          <w:tcPr>
            <w:tcW w:type="dxa" w:w="1728"/>
            <w:shd w:val="clear" w:fill="1F3364"/>
          </w:tcPr>
          <w:p>
            <w:r/>
            <w:r>
              <w:rPr>
                <w:b/>
                <w:color w:val="FFFFFF"/>
                <w:sz w:val="22"/>
              </w:rPr>
              <w:t>Weighting</w:t>
            </w:r>
          </w:p>
        </w:tc>
        <w:tc>
          <w:tcPr>
            <w:tcW w:type="dxa" w:w="7632"/>
            <w:shd w:val="clear" w:fill="1F3364"/>
          </w:tcPr>
          <w:p>
            <w:r/>
            <w:r>
              <w:rPr>
                <w:b/>
                <w:color w:val="FFFFFF"/>
                <w:sz w:val="22"/>
              </w:rPr>
              <w:t>Meaning</w:t>
            </w:r>
          </w:p>
        </w:tc>
      </w:tr>
      <w:tr>
        <w:tc>
          <w:tcPr>
            <w:tcW w:type="dxa" w:w="1728"/>
          </w:tcPr>
          <w:p>
            <w:r/>
            <w:r>
              <w:rPr>
                <w:b w:val="0"/>
                <w:sz w:val="22"/>
              </w:rPr>
              <w:t>91–100</w:t>
            </w:r>
          </w:p>
        </w:tc>
        <w:tc>
          <w:tcPr>
            <w:tcW w:type="dxa" w:w="7632"/>
          </w:tcPr>
          <w:p>
            <w:r/>
            <w:r>
              <w:rPr>
                <w:b w:val="0"/>
                <w:sz w:val="22"/>
              </w:rPr>
              <w:t>Excellent response that fully meets or exceeds requirements and provides comprehensive and convincing assurance that the Tenderer will deliver to an excellent standard.</w:t>
            </w:r>
          </w:p>
        </w:tc>
      </w:tr>
      <w:tr>
        <w:tc>
          <w:tcPr>
            <w:tcW w:type="dxa" w:w="1728"/>
          </w:tcPr>
          <w:p>
            <w:r/>
            <w:r>
              <w:rPr>
                <w:b w:val="0"/>
                <w:sz w:val="22"/>
              </w:rPr>
              <w:t>80–90</w:t>
            </w:r>
          </w:p>
        </w:tc>
        <w:tc>
          <w:tcPr>
            <w:tcW w:type="dxa" w:w="7632"/>
          </w:tcPr>
          <w:p>
            <w:r/>
            <w:r>
              <w:rPr>
                <w:b w:val="0"/>
                <w:sz w:val="22"/>
              </w:rPr>
              <w:t>A good response that demonstrates real understanding and fully meets the requirements and assurance that the Tenderer will deliver to a high standard.</w:t>
            </w:r>
          </w:p>
        </w:tc>
      </w:tr>
      <w:tr>
        <w:tc>
          <w:tcPr>
            <w:tcW w:type="dxa" w:w="1728"/>
          </w:tcPr>
          <w:p>
            <w:r/>
            <w:r>
              <w:rPr>
                <w:b w:val="0"/>
                <w:sz w:val="22"/>
              </w:rPr>
              <w:t>60–79</w:t>
            </w:r>
          </w:p>
        </w:tc>
        <w:tc>
          <w:tcPr>
            <w:tcW w:type="dxa" w:w="7632"/>
          </w:tcPr>
          <w:p>
            <w:r/>
            <w:r>
              <w:rPr>
                <w:b w:val="0"/>
                <w:sz w:val="22"/>
              </w:rPr>
              <w:t>A satisfactory response which demonstrates a reasonable understanding of requirements and gives reasonable assurance of delivery to an adequate standard but does not provide sufficiently convincing assurance to award a higher mark.</w:t>
            </w:r>
          </w:p>
        </w:tc>
      </w:tr>
      <w:tr>
        <w:tc>
          <w:tcPr>
            <w:tcW w:type="dxa" w:w="1728"/>
          </w:tcPr>
          <w:p>
            <w:r/>
            <w:r>
              <w:rPr>
                <w:b w:val="0"/>
                <w:sz w:val="22"/>
              </w:rPr>
              <w:t>30–59</w:t>
            </w:r>
          </w:p>
        </w:tc>
        <w:tc>
          <w:tcPr>
            <w:tcW w:type="dxa" w:w="7632"/>
          </w:tcPr>
          <w:p>
            <w:r/>
            <w:r>
              <w:rPr>
                <w:b w:val="0"/>
                <w:sz w:val="22"/>
              </w:rPr>
              <w:t>A response where reservations exist. Lacks full credibility/convincing detail, and there is a significant risk that the response will not be successful.</w:t>
            </w:r>
          </w:p>
        </w:tc>
      </w:tr>
      <w:tr>
        <w:tc>
          <w:tcPr>
            <w:tcW w:type="dxa" w:w="1728"/>
          </w:tcPr>
          <w:p>
            <w:r/>
            <w:r>
              <w:rPr>
                <w:b w:val="0"/>
                <w:sz w:val="22"/>
              </w:rPr>
              <w:t>1–29</w:t>
            </w:r>
          </w:p>
        </w:tc>
        <w:tc>
          <w:tcPr>
            <w:tcW w:type="dxa" w:w="7632"/>
          </w:tcPr>
          <w:p>
            <w:r/>
            <w:r>
              <w:rPr>
                <w:b w:val="0"/>
                <w:sz w:val="22"/>
              </w:rPr>
              <w:t>A response where serious reservations exist. This may be because, for example, insufficient detail is provided, or the response has fundamental flaws, or is seriously inadequate or seriously lacks credibility with a high risk of non-delivery.</w:t>
            </w:r>
          </w:p>
        </w:tc>
      </w:tr>
      <w:tr>
        <w:tc>
          <w:tcPr>
            <w:tcW w:type="dxa" w:w="1728"/>
          </w:tcPr>
          <w:p>
            <w:r/>
            <w:r>
              <w:rPr>
                <w:b w:val="0"/>
                <w:sz w:val="22"/>
              </w:rPr>
              <w:t>0</w:t>
            </w:r>
          </w:p>
        </w:tc>
        <w:tc>
          <w:tcPr>
            <w:tcW w:type="dxa" w:w="7632"/>
          </w:tcPr>
          <w:p>
            <w:r/>
            <w:r>
              <w:rPr>
                <w:b w:val="0"/>
                <w:sz w:val="22"/>
              </w:rPr>
              <w:t>No response or partial response only and poor evidence provided in support of it: failure to meet the requirements.</w:t>
            </w:r>
          </w:p>
        </w:tc>
      </w:tr>
    </w:tbl>
    <w:p/>
    <w:p>
      <w:r>
        <w:rPr>
          <w:b/>
        </w:rPr>
        <w:t>Calculation of Ultimate Cost (Award Criteria 4)</w:t>
      </w:r>
    </w:p>
    <w:p>
      <w:r>
        <w:t>The lowest price that meets all the minimum requirements of the qualitative award criteria will receive the maximum score achievable under this criterion. The scores of the other valid tenders will be calculated by using the formula:</w:t>
      </w:r>
    </w:p>
    <w:tbl>
      <w:tblPr>
        <w:tblStyle w:val="TableGrid"/>
        <w:tblW w:type="auto" w:w="0"/>
        <w:jc w:val="center"/>
        <w:tblLook w:firstColumn="1" w:firstRow="1" w:lastColumn="0" w:lastRow="0" w:noHBand="0" w:noVBand="1" w:val="04A0"/>
      </w:tblPr>
      <w:tblGrid>
        <w:gridCol w:w="4320"/>
        <w:gridCol w:w="4320"/>
      </w:tblGrid>
      <w:tr>
        <w:tc>
          <w:tcPr>
            <w:tcW w:type="dxa" w:w="1152"/>
            <w:shd w:val="clear" w:fill="1F3364"/>
          </w:tcPr>
          <w:p>
            <w:r/>
            <w:r>
              <w:rPr>
                <w:b/>
                <w:color w:val="FFFFFF"/>
                <w:sz w:val="22"/>
              </w:rPr>
            </w:r>
          </w:p>
        </w:tc>
        <w:tc>
          <w:tcPr>
            <w:tcW w:type="dxa" w:w="8208"/>
            <w:shd w:val="clear" w:fill="1F3364"/>
          </w:tcPr>
          <w:p>
            <w:r/>
            <w:r>
              <w:rPr>
                <w:b/>
                <w:color w:val="FFFFFF"/>
                <w:sz w:val="22"/>
              </w:rPr>
            </w:r>
          </w:p>
        </w:tc>
      </w:tr>
      <w:tr>
        <w:tc>
          <w:tcPr>
            <w:tcW w:type="dxa" w:w="1152"/>
          </w:tcPr>
          <w:p>
            <w:r/>
            <w:r>
              <w:rPr>
                <w:b w:val="0"/>
                <w:sz w:val="22"/>
              </w:rPr>
              <w:t>A</w:t>
            </w:r>
          </w:p>
        </w:tc>
        <w:tc>
          <w:tcPr>
            <w:tcW w:type="dxa" w:w="8208"/>
          </w:tcPr>
          <w:p>
            <w:r/>
            <w:r>
              <w:rPr>
                <w:b w:val="0"/>
                <w:sz w:val="22"/>
              </w:rPr>
              <w:t>Cost from lowest submission</w:t>
            </w:r>
          </w:p>
        </w:tc>
      </w:tr>
      <w:tr>
        <w:tc>
          <w:tcPr>
            <w:tcW w:type="dxa" w:w="1152"/>
          </w:tcPr>
          <w:p>
            <w:r/>
            <w:r>
              <w:rPr>
                <w:b w:val="0"/>
                <w:sz w:val="22"/>
              </w:rPr>
              <w:t>B</w:t>
            </w:r>
          </w:p>
        </w:tc>
        <w:tc>
          <w:tcPr>
            <w:tcW w:type="dxa" w:w="8208"/>
          </w:tcPr>
          <w:p>
            <w:r/>
            <w:r>
              <w:rPr>
                <w:b w:val="0"/>
                <w:sz w:val="22"/>
              </w:rPr>
              <w:t>Cost for submission being considered</w:t>
            </w:r>
          </w:p>
        </w:tc>
      </w:tr>
      <w:tr>
        <w:tc>
          <w:tcPr>
            <w:tcW w:type="dxa" w:w="1152"/>
          </w:tcPr>
          <w:p>
            <w:r/>
            <w:r>
              <w:rPr>
                <w:b w:val="0"/>
                <w:sz w:val="22"/>
              </w:rPr>
              <w:t>C</w:t>
            </w:r>
          </w:p>
        </w:tc>
        <w:tc>
          <w:tcPr>
            <w:tcW w:type="dxa" w:w="8208"/>
          </w:tcPr>
          <w:p>
            <w:r/>
            <w:r>
              <w:rPr>
                <w:b w:val="0"/>
                <w:sz w:val="22"/>
              </w:rPr>
              <w:t>Maximum points available for this criterion = 3,000</w:t>
            </w:r>
          </w:p>
        </w:tc>
      </w:tr>
    </w:tbl>
    <w:p>
      <w:r>
        <w:rPr>
          <w:b/>
        </w:rPr>
        <w:t>The formula for awarding scores:  (3,000 × A) ÷ B</w:t>
      </w:r>
    </w:p>
    <w:p>
      <w:pPr>
        <w:pStyle w:val="Heading2"/>
      </w:pPr>
      <w:r>
        <w:t>2.6  Timetable for Stage 2 &amp; 3 of Competitive Dialogue</w:t>
      </w:r>
    </w:p>
    <w:p>
      <w:r>
        <w:t>The schedule for the main Competitive Dialogue events for Stages 2 &amp; 3 is set out in the table below. SOLAS intends to follow the schedule in so far as is practicable. The overall timetable will be dependent on the outcome of the dialogue sessions, the quality of solutions proposed, and solution documents received.</w:t>
      </w:r>
    </w:p>
    <w:tbl>
      <w:tblPr>
        <w:tblStyle w:val="TableGrid"/>
        <w:tblW w:type="auto" w:w="0"/>
        <w:jc w:val="center"/>
        <w:tblLook w:firstColumn="1" w:firstRow="1" w:lastColumn="0" w:lastRow="0" w:noHBand="0" w:noVBand="1" w:val="04A0"/>
      </w:tblPr>
      <w:tblGrid>
        <w:gridCol w:w="4320"/>
        <w:gridCol w:w="4320"/>
      </w:tblGrid>
      <w:tr>
        <w:tc>
          <w:tcPr>
            <w:tcW w:type="dxa" w:w="6480"/>
            <w:shd w:val="clear" w:fill="1F3364"/>
          </w:tcPr>
          <w:p>
            <w:r/>
            <w:r>
              <w:rPr>
                <w:b/>
                <w:color w:val="FFFFFF"/>
                <w:sz w:val="22"/>
              </w:rPr>
              <w:t>Competitive Dialogue Events</w:t>
            </w:r>
          </w:p>
        </w:tc>
        <w:tc>
          <w:tcPr>
            <w:tcW w:type="dxa" w:w="2880"/>
            <w:shd w:val="clear" w:fill="1F3364"/>
          </w:tcPr>
          <w:p>
            <w:r/>
            <w:r>
              <w:rPr>
                <w:b/>
                <w:color w:val="FFFFFF"/>
                <w:sz w:val="22"/>
              </w:rPr>
              <w:t>Proposed Timeframe</w:t>
            </w:r>
          </w:p>
        </w:tc>
      </w:tr>
      <w:tr>
        <w:tc>
          <w:tcPr>
            <w:tcW w:type="dxa" w:w="6480"/>
          </w:tcPr>
          <w:p>
            <w:r/>
            <w:r>
              <w:rPr>
                <w:b w:val="0"/>
                <w:sz w:val="22"/>
              </w:rPr>
              <w:t>Descriptive Document issued to Participants</w:t>
            </w:r>
          </w:p>
        </w:tc>
        <w:tc>
          <w:tcPr>
            <w:tcW w:type="dxa" w:w="2880"/>
          </w:tcPr>
          <w:p>
            <w:r/>
            <w:r>
              <w:rPr>
                <w:b w:val="0"/>
                <w:sz w:val="22"/>
              </w:rPr>
              <w:t>11 May 2026</w:t>
            </w:r>
          </w:p>
        </w:tc>
      </w:tr>
      <w:tr>
        <w:tc>
          <w:tcPr>
            <w:tcW w:type="dxa" w:w="6480"/>
          </w:tcPr>
          <w:p>
            <w:r/>
            <w:r>
              <w:rPr>
                <w:b w:val="0"/>
                <w:sz w:val="22"/>
              </w:rPr>
              <w:t>Site Visit</w:t>
            </w:r>
          </w:p>
        </w:tc>
        <w:tc>
          <w:tcPr>
            <w:tcW w:type="dxa" w:w="2880"/>
          </w:tcPr>
          <w:p>
            <w:r/>
            <w:r>
              <w:rPr>
                <w:b w:val="0"/>
                <w:sz w:val="22"/>
              </w:rPr>
              <w:t>18 May 2026</w:t>
            </w:r>
          </w:p>
        </w:tc>
      </w:tr>
      <w:tr>
        <w:tc>
          <w:tcPr>
            <w:tcW w:type="dxa" w:w="6480"/>
          </w:tcPr>
          <w:p>
            <w:r/>
            <w:r>
              <w:rPr>
                <w:b w:val="0"/>
                <w:sz w:val="22"/>
              </w:rPr>
              <w:t>First Dialogue Meetings to discuss proposed solutions *</w:t>
            </w:r>
          </w:p>
        </w:tc>
        <w:tc>
          <w:tcPr>
            <w:tcW w:type="dxa" w:w="2880"/>
          </w:tcPr>
          <w:p>
            <w:r/>
            <w:r>
              <w:rPr>
                <w:b w:val="0"/>
                <w:sz w:val="22"/>
              </w:rPr>
              <w:t>28 or 29 May 2026 (TBC)</w:t>
            </w:r>
          </w:p>
        </w:tc>
      </w:tr>
      <w:tr>
        <w:tc>
          <w:tcPr>
            <w:tcW w:type="dxa" w:w="6480"/>
          </w:tcPr>
          <w:p>
            <w:r/>
            <w:r>
              <w:rPr>
                <w:b w:val="0"/>
                <w:sz w:val="22"/>
              </w:rPr>
              <w:t>Participants to provide documented Proposed Solution</w:t>
            </w:r>
          </w:p>
        </w:tc>
        <w:tc>
          <w:tcPr>
            <w:tcW w:type="dxa" w:w="2880"/>
          </w:tcPr>
          <w:p>
            <w:r/>
            <w:r>
              <w:rPr>
                <w:b w:val="0"/>
                <w:sz w:val="22"/>
              </w:rPr>
              <w:t>11 June 2026</w:t>
            </w:r>
          </w:p>
        </w:tc>
      </w:tr>
      <w:tr>
        <w:tc>
          <w:tcPr>
            <w:tcW w:type="dxa" w:w="6480"/>
          </w:tcPr>
          <w:p>
            <w:r/>
            <w:r>
              <w:rPr>
                <w:b w:val="0"/>
                <w:sz w:val="22"/>
              </w:rPr>
              <w:t>Invitation to Tender</w:t>
            </w:r>
          </w:p>
        </w:tc>
        <w:tc>
          <w:tcPr>
            <w:tcW w:type="dxa" w:w="2880"/>
          </w:tcPr>
          <w:p>
            <w:r/>
            <w:r>
              <w:rPr>
                <w:b w:val="0"/>
                <w:sz w:val="22"/>
              </w:rPr>
              <w:t>26 June 2026</w:t>
            </w:r>
          </w:p>
        </w:tc>
      </w:tr>
      <w:tr>
        <w:tc>
          <w:tcPr>
            <w:tcW w:type="dxa" w:w="6480"/>
          </w:tcPr>
          <w:p>
            <w:r/>
            <w:r>
              <w:rPr>
                <w:b w:val="0"/>
                <w:sz w:val="22"/>
              </w:rPr>
              <w:t>Deadline for receipt of Final Tender response</w:t>
            </w:r>
          </w:p>
        </w:tc>
        <w:tc>
          <w:tcPr>
            <w:tcW w:type="dxa" w:w="2880"/>
          </w:tcPr>
          <w:p>
            <w:r/>
            <w:r>
              <w:rPr>
                <w:b w:val="0"/>
                <w:sz w:val="22"/>
              </w:rPr>
              <w:t>24 July 2026</w:t>
            </w:r>
          </w:p>
        </w:tc>
      </w:tr>
    </w:tbl>
    <w:p>
      <w:r>
        <w:rPr>
          <w:i/>
          <w:sz w:val="18"/>
        </w:rPr>
        <w:t>*Each dialogue meeting should last no more than 1.5 hours.</w:t>
      </w:r>
    </w:p>
    <w:p>
      <w:pPr>
        <w:pStyle w:val="Heading2"/>
      </w:pPr>
      <w:r>
        <w:t>2.7  Clarifications</w:t>
      </w:r>
    </w:p>
    <w:p>
      <w:r>
        <w:t>All queries or requests for clarification must be sent via the eTenders messaging service. Queries or requests for clarifications will be accepted no later than 15:00 on 5 June 2026 unless otherwise notified by SOLAS.</w:t>
      </w:r>
    </w:p>
    <w:p>
      <w:r>
        <w:t>All clarifications and responses to queries/requests for clarification will be emailed from tenders@solas.ie. Where appropriate, questions may be amalgamated. Tenderers should note that SOLAS will not make responses or clarifications to individual Tenderers privately.</w:t>
      </w:r>
    </w:p>
    <w:p>
      <w:r>
        <w:t>If a participant believes that a Query is confidential or commercially sensitive it must mark the query as ‘confidential’ or ‘commercially sensitive’ and participants must, if requested, provide SOLAS with the reasons why they consider the information commercially sensitive or confidential.</w:t>
      </w:r>
    </w:p>
    <w:p>
      <w:r>
        <w:t>If SOLAS, in its absolute discretion, is satisfied that the query should be properly regarded as confidential or commercially sensitive, the query and SOLAS’s response to that query will be kept confidential (subject to the requirements of any Law).</w:t>
      </w:r>
    </w:p>
    <w:p>
      <w:r>
        <w:t>If SOLAS determines that it would be inappropriate to answer the query on a confidential basis it will notify the participant and require the participant to either withdraw the query or to resubmit without the requirement for confidentiality.</w:t>
      </w:r>
    </w:p>
    <w:p>
      <w:pPr>
        <w:pStyle w:val="Heading2"/>
      </w:pPr>
      <w:r>
        <w:t>2.8  Tenderers Costs</w:t>
      </w:r>
    </w:p>
    <w:p>
      <w:r>
        <w:t>All costs and expenses incurred by Tenderers relating to their participation in this public procurement competition including, but not being limited to, site visits, field trials, demonstrations and/or presentations shall be borne by and are a matter for discharge by the Tenderers exclusively.</w:t>
      </w:r>
    </w:p>
    <w:p>
      <w:pPr>
        <w:pStyle w:val="Heading2"/>
      </w:pPr>
      <w:r>
        <w:t>2.9  Confidentiality</w:t>
      </w:r>
    </w:p>
    <w:p>
      <w:r>
        <w:t>All documentation, data, statistics, drawings, information, patterns, samples or material disclosed or furnished by SOLAS to Tenderers during this public procurement competition:</w:t>
      </w:r>
    </w:p>
    <w:p>
      <w:pPr>
        <w:pStyle w:val="ListBullet"/>
      </w:pPr>
      <w:r>
        <w:t>are furnished for the sole purpose of replying to this competitive dialogue process only;</w:t>
      </w:r>
    </w:p>
    <w:p>
      <w:pPr>
        <w:pStyle w:val="ListBullet"/>
      </w:pPr>
      <w:r>
        <w:t>may not be used, communicated, reproduced or published for any other purpose without the prior written permission of SOLAS;</w:t>
      </w:r>
    </w:p>
    <w:p>
      <w:pPr>
        <w:pStyle w:val="ListBullet"/>
      </w:pPr>
      <w:r>
        <w:t>shall be treated as confidential by the Tenderer and by any third parties (including subcontractors) engaged or consulted by the Tenderer; and</w:t>
      </w:r>
    </w:p>
    <w:p>
      <w:pPr>
        <w:pStyle w:val="ListBullet"/>
      </w:pPr>
      <w:r>
        <w:t>must be returned immediately to SOLAS upon cancellation or completion of this public procurement competition if so requested by SOLAS.</w:t>
      </w:r>
    </w:p>
    <w:p>
      <w:pPr>
        <w:pStyle w:val="Heading2"/>
      </w:pPr>
      <w:r>
        <w:t>2.10  Freedom of Information</w:t>
      </w:r>
    </w:p>
    <w:p>
      <w:r>
        <w:t>Tenderers should be aware that, under the Freedom of Information Act 2014, information provided by them during this public procurement competition may be liable to be disclosed.</w:t>
      </w:r>
    </w:p>
    <w:p>
      <w:r>
        <w:t>Tenderers are asked to consider if any of the information supplied by them in their Tender should not be disclosed because of its commercial sensitivity. If Tenderers consider that certain information is not to be disclosed because of its commercial sensitivity, Tenderers should, when providing such information, clearly identify same and specify the reasons for its commercial sensitivity. If Tenderers do not identify it as commercially sensitive, it is liable to be released in response to a Freedom of Information request without further consultation with you. SOLAS will, where possible, consult with Tenderers about commercially sensitive information so identified before deciding on a request received under the Freedom of Information Act.</w:t>
      </w:r>
    </w:p>
    <w:p>
      <w:r>
        <w:br w:type="page"/>
      </w:r>
    </w:p>
    <w:p>
      <w:pPr>
        <w:pStyle w:val="Heading1"/>
      </w:pPr>
      <w:r>
        <w:t>Part 3: Statement of Requirement</w:t>
      </w:r>
    </w:p>
    <w:p>
      <w:r>
        <w:rPr>
          <w:b/>
          <w:color w:val="C00000"/>
        </w:rPr>
        <w:t>[ To be completed by SOLAS — Statement of Requirement / Proposed Solution. ]</w:t>
      </w:r>
    </w:p>
    <w:p>
      <w:r>
        <w:t>This section will set out the object of the project, the current environment, the rooms and spaces in scope (including any potential additional requirements), the solution considerations, and the site visit arrangements.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3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3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