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0828_Livelong-learning_discourse</w:t>
      </w:r>
    </w:p>
    <w:p>
      <w:pPr>
        <w:pStyle w:val="BodyText"/>
      </w:pPr>
      <w:r>
        <w:rPr>
          <w:rFonts w:ascii="Segoe Print" w:hAnsi="Segoe Print" w:eastAsia="Segoe Print"/>
          <w:sz w:val="18"/>
        </w:rPr>
        <w:t xml:space="preserve">0828_Livelong-learning_discourse</w:t>
      </w:r>
    </w:p>
    <w:p>
      <w:pPr>
        <w:pStyle w:val="BodyText"/>
      </w:pPr>
      <w:r>
        <w:rPr>
          <w:rFonts w:ascii="Segoe Print" w:hAnsi="Segoe Print" w:eastAsia="Segoe Print"/>
          <w:sz w:val="18"/>
        </w:rP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rPr>
          <w:rFonts w:ascii="Segoe Print" w:hAnsi="Segoe Print" w:eastAsia="Segoe Print"/>
          <w:sz w:val="18"/>
        </w:rP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rPr>
          <w:rFonts w:ascii="Segoe Print" w:hAnsi="Segoe Print" w:eastAsia="Segoe Print"/>
          <w:sz w:val="18"/>
        </w:rP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rPr>
          <w:rFonts w:ascii="Segoe Print" w:hAnsi="Segoe Print" w:eastAsia="Segoe Print"/>
          <w:sz w:val="18"/>
        </w:rP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