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公募基金精准营销案例 - 教师上课指南 V3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公募基金精准营销案例实验班（classroom 1695）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公募基金精准营销案例（training 104）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项目实训：公募基金精准营销案例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104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这节课面向已经掌握基础 BI 操作、准备进入金融营销数据场景的老师。课程使用某基金公司的客户与交易数据，带学生完成客户画像、投资偏好观察、RFM 分层和精准营销建议输出，让学生理解“客户字段 - 行为指标 - 分层规则 - 营销动作”的完整路径。</w:t>
      </w:r>
    </w:p>
    <w:p>
      <w:pPr>
        <w:spacing w:after="120" w:before="80" w:line="320"/>
      </w:pPr>
      <w:r>
        <w:t xml:space="preserve">学生学完后应能做三件事：读懂基金客户画像字段；在 BI 设计器中用年龄、收入、账户余额、交易次数、风险偏好等字段完成分布与分群分析；根据客户价值和投资偏好提出可执行的营销建议。学校环境核验显示 classroom 1695 已挂载 training 104，学生演示账号已加入课堂并完成一次提交，老师已评分 87 分。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1-1：老师视角进入公募基金精准营销案例实验班详情页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客户画像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年龄、性别、收入、账户余额、账户月数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能描述客户基础结构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投资行为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交易次数、最近交易间隔、基金持仓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能识别活跃客户和沉默客户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风险偏好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risk_preference 与营销策略匹配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能按偏好设计推荐话术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精准营销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subscribed、RFM 分层、目标客群筛选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能写出分层营销建议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本节课的学生交付物是一份基金客户精准营销 BI 看板：至少包含客户年龄或收入分布图、账户余额或基金持仓分析图、风险偏好分布图、交易活跃度分析图，并附 3 到 5 句客户分层和营销建议。学生在 BI 设计器内完成作品后点击“提交作业”，老师可在课堂作业列表中查看提交记录、评分并写点评。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在课堂列表中找到“公募基金精准营销案例实验班”。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 BI 设计器相关资源，页面可能需要等待十几秒。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2-1：课堂列表中的公募基金精准营销案例实验班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1695 课堂的“项目实训”数量为 1，对应 training 104；页面也保留“课程实践”“教学资源”“课程考核”“课堂云盘”等入口。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项目实训：公募基金精准营销案例</w:t>
      </w:r>
    </w:p>
    <w:p>
      <w:pPr>
        <w:pStyle w:val="Heading2"/>
        <w:spacing w:after="140" w:before="180"/>
      </w:pPr>
      <w:r>
        <w:t xml:space="preserve">3.1 training 104 整体结构</w:t>
      </w:r>
    </w:p>
    <w:p>
      <w:pPr>
        <w:spacing w:after="120" w:before="80" w:line="320"/>
      </w:pPr>
      <w:r>
        <w:t xml:space="preserve">老师进入课堂后，默认看到“项目实训”标签。卡片显示“公募基金精准营销案例 / DATA_ANALYSIS”。点击“查看详情”后，平台展示实训手册。学校环境核验显示 training 104 的实训手册长度为 5510 字符，数据集数量为 2 个，课堂组织以客户画像、投资偏好、RFM 分层和营销方案评估为主线。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104 卡片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104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真实数据集有 2 个：fund_customers.csv 和 fund_transactions.csv。平台 BI 设计器当前加载到的字段包括 customer_id、age、gender、annual_income、account_balance、risk_preference、subscribed、account_months、transaction_count、days_since_last_trans、fund_holdings。</w:t>
      </w:r>
    </w:p>
    <w:p>
      <w:pPr>
        <w:spacing w:after="120" w:before="80" w:line="320"/>
      </w:pPr>
      <w:r>
        <w:t xml:space="preserve">老师讲数据时不要从字段表逐行念。建议先问学生四个业务问题：哪些客户更值得重点维护；不同风险偏好客户应该推荐什么产品；交易次数和最近交易间隔能否反映活跃度；已认购客户和未认购客户有什么差异。然后让学生把问题映射到字段，例如客户价值用 account_balance + fund_holdings，活跃度用 transaction_count + days_since_last_trans，风险策略用 risk_preference。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3-3：BI 设计器中加载到的真实基金客户字段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1695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讲基金营销背景、客户画像字段和业务目标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找到字段含义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演示年龄分布、风险偏好分布和客户活跃度图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 4 个图表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总结客户分层和营销建议，说明提交要求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 BI 设计器，确认左侧数据集已加载，再做一个完整例子：把 risk_preference 作为分类字段，把客户数量作为统计指标，观察不同风险偏好客户占比；随后切换到 annual_income、account_balance 和 transaction_count，让学生比较客户价值与活跃度。</w:t>
      </w:r>
    </w:p>
    <w:p>
      <w:pPr>
        <w:spacing w:after="120" w:before="80" w:line="320"/>
      </w:pPr>
      <w:r>
        <w:t xml:space="preserve">学生提交后，老师进入 training 104 的“作业列表”。页面会显示学生姓名、提交状态、提交时间、作业内容和点评入口。当前 V3 本次交付核验中，student_demo_bi107 已提交，老师已在作业页完成 87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课堂提醒：学生容易把 annual_income 当成投资收益。老师要提醒它是客户收入画像字段，不是基金产品收益。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课堂提醒：risk_preference 是营销策略的重要分类字段，不应和 account_balance 混成一个数值指标解释。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课堂提醒：days_since_last_trans 越大通常表示最近交易越久。学生解释活跃度时要注意方向，不能把数值大直接说成更活跃。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00-common.md，本课只要求学生确认能看到“公募基金精准营销案例实验班”。学生端不会显示老师的系统管理入口，只显示自己的课堂和学习入口。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1695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1695 实验班后的项目实训卡片</w:t>
      </w:r>
    </w:p>
    <w:p>
      <w:pPr>
        <w:spacing w:after="120" w:before="80" w:line="320"/>
      </w:pPr>
      <w:r>
        <w:t xml:space="preserve">学生点击“开启实训”后进入 BI 设计器。学校环境核验显示：数据集能加载，字段能展示，学生可以保存当前 BI 场景，并点击“提交作业”。提交接口返回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 BI 设计器中完成图表。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点击“保存”保存当前场景。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 BI 设计器，保存与提交入口均可见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1695；图表不会做时，老师回到字段和业务问题，帮助学生重新选择客户画像字段、行为字段和分层字段。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87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1695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87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87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回到基金营销背景，先定业务问题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从风险偏好分布做第一个示范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学生字段选错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检查分类字段与数值字段是否混用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 risk_preference 或 gender 做分类例子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学生误读交易活跃度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 days_since_last_trans 的解释方向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结合 transaction_count 一起判断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 BI 设计器提交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营销动作绑定：客户画像回答“客户是谁”，风险偏好回答“适合什么产品”，交易活跃度回答“什么时候触达”，认购状态回答“营销是否转化”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本课对应数据分析基础、商业智能工具应用、金融营销数据理解、客户分层与业务表达四类能力。评价时建议同时看图表完整性、字段选择准确性、客户分层逻辑和营销建议可操作性。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52035d69640cb048f0d2a7588032552543979d.undefined"/><Relationship Id="rId10" Type="http://schemas.openxmlformats.org/officeDocument/2006/relationships/image" Target="media/56a8e820b070d2ad11427b3a4ec10cfbf472e04d.undefined"/><Relationship Id="rId11" Type="http://schemas.openxmlformats.org/officeDocument/2006/relationships/image" Target="media/c30b7e9f493b698b716cf436dae4b09ce865e773.undefined"/><Relationship Id="rId12" Type="http://schemas.openxmlformats.org/officeDocument/2006/relationships/image" Target="media/d310a72c7f19f371678e3e664c8d4a1aa6f2f4ca.undefined"/><Relationship Id="rId13" Type="http://schemas.openxmlformats.org/officeDocument/2006/relationships/image" Target="media/65353c59f9188f079e94d51722e60bb740800348.undefined"/><Relationship Id="rId14" Type="http://schemas.openxmlformats.org/officeDocument/2006/relationships/image" Target="media/24a81b3e956cd2f7d4b3801b9c695e1e073d8737.undefined"/><Relationship Id="rId15" Type="http://schemas.openxmlformats.org/officeDocument/2006/relationships/image" Target="media/d9385955e983a25d21f566b263fdbaf8f577c3b9.undefined"/><Relationship Id="rId16" Type="http://schemas.openxmlformats.org/officeDocument/2006/relationships/image" Target="media/a4c68a587b354ceef0ded9116072e9bc67a43a8a.undefined"/><Relationship Id="rId17" Type="http://schemas.openxmlformats.org/officeDocument/2006/relationships/image" Target="media/15101242f5c34e8d85ca901747af6af32234a913.undefined"/><Relationship Id="rId18" Type="http://schemas.openxmlformats.org/officeDocument/2006/relationships/image" Target="media/8ca871da876f437c6f8cce52bd360712dd2b8676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公募基金精准营销案例 - 教师上课指南 V3</dc:title>
  <dc:creator>Tempo Talents</dc:creator>
  <dc:description>Tempo Talents 教师上课指南</dc:description>
  <cp:lastModifiedBy>Un-named</cp:lastModifiedBy>
  <cp:revision>1</cp:revision>
  <dcterms:created xsi:type="dcterms:W3CDTF">2026-05-08T05:32:42.223Z</dcterms:created>
  <dcterms:modified xsi:type="dcterms:W3CDTF">2026-05-08T05:32:42.223Z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