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某公司人力薪酬分析 - 教师上课指南 V6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某公司人力薪酬分析实验班（classroom 1699）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某公司人力薪酬分析（training 110）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项目实训：某公司人力薪酬分析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110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这节课面向已经完成基础数据分析训练、准备进入人力资源与薪酬管理场景的老师。课程围绕薪酬结构、部门人效、人员流动和薪酬公平性组织教学，让学生理解“业务问题 - 数据字段 - 图表证据 - 管理建议”的完整路径。</w:t>
      </w:r>
    </w:p>
    <w:p>
      <w:pPr>
        <w:spacing w:after="120" w:before="80" w:line="320"/>
      </w:pPr>
      <w:r>
        <w:t xml:space="preserve">学生学完后应能做三件事：读懂人力资源与薪酬管理数据中的关键维度；在平台实训页面中围绕薪酬结构、部门人效、人员流动和薪酬公平性构建分析结果；根据图表或实训结果提出可执行建议。学校环境核验显示 classroom 1699 已挂载 training 110，学生演示账号已加入课堂并完成一次提交，老师已评分 90 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1-1：老师视角进入某公司人力薪酬分析实验班详情页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薪酬结构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岗位、部门和薪酬区间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能做薪酬分布图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部门人效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部门人数、薪酬和产出对比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能识别人效差异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人员流动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入离职趋势和关键部门变化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能定位流动风险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公平性评估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同岗同级薪酬差异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能提出薪酬治理建议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本节课的学生交付物是一份“某公司人力薪酬分析”分析作品：至少覆盖薪酬结构、部门人效、人员流动和薪酬公平性，并附 3 到 5 句业务结论。学生完成作品后点击“提交作业”，老师可在课堂作业列表中查看提交记录、评分并写点评。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在课堂列表中找到“某公司人力薪酬分析实验班”。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点击课堂卡片进入详情页。首次加载详情页会拉取项目实训相关资源，页面可能需要等待十几秒。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2-1：课堂列表中的某公司人力薪酬分析实验班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课堂详情页左侧是功能菜单。老师本节课主要使用“项目实训”，辅助查看“学情分析”和“作业列表”。当前 1699 课堂的“项目实训”数量为 1，对应 training 110；页面也保留“课程实践”“教学资源”“课程考核”“课堂云盘”等入口。</w:t>
      </w:r>
    </w:p>
    <w:p>
      <w:pPr>
        <w:pStyle w:val="Heading1"/>
        <w:spacing w:after="140" w:before="260"/>
      </w:pPr>
      <w:r>
        <w:t xml:space="preserve">第 3 章 项目实训：某公司人力薪酬分析</w:t>
      </w:r>
    </w:p>
    <w:p>
      <w:pPr>
        <w:pStyle w:val="Heading2"/>
        <w:spacing w:after="140" w:before="180"/>
      </w:pPr>
      <w:r>
        <w:t xml:space="preserve">3.1 training 110 整体结构</w:t>
      </w:r>
    </w:p>
    <w:p>
      <w:pPr>
        <w:spacing w:after="120" w:before="80" w:line="320"/>
      </w:pPr>
      <w:r>
        <w:t xml:space="preserve">老师进入课堂后，默认看到“项目实训”标签。卡片显示“某公司人力薪酬分析 / DATA_ANALYSIS”。点击“查看详情”后，平台展示实训手册。学校环境核验显示 training 110 的实训手册长度为 1337 字符，数据集数量为 1 个，课堂组织以薪酬结构、部门人效、人员流动和薪酬公平性为主线。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110 卡片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110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真实数据集文件为：hr_employees.csv。老师讲数据时建议围绕四个业务问题展开：薪酬是否集中在少数区间；部门人效是否均衡；人员流动是否存在高风险部门；薪酬公平性是否需要复核。</w:t>
      </w:r>
    </w:p>
    <w:p>
      <w:pPr>
        <w:spacing w:after="120" w:before="80" w:line="320"/>
      </w:pPr>
      <w:r>
        <w:t xml:space="preserve">演示时先让学生确认数据集已加载，再从一个最容易解释的业务问题切入。不要让学生只堆图表；每张图都要能回答一个业务问题，并能转化为一句管理建议。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3-3：平台实训页面中打开 某公司人力薪酬分析 的分析入口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1699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讲人力资源与薪酬管理背景和关键数据维度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找到分析维度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演示薪酬结构分析路径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跟做图表或实训步骤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完成分析作品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总结业务建议，说明提交要求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实训入口，确认页面与数据资源已加载，再做一个完整例子：从薪酬结构切入，说明为什么选择这个视角、使用哪些数据、图表或结果能支持什么结论。学生独立练习时，要求每个图表都写一句解释。</w:t>
      </w:r>
    </w:p>
    <w:p>
      <w:pPr>
        <w:spacing w:after="120" w:before="80" w:line="320"/>
      </w:pPr>
      <w:r>
        <w:t xml:space="preserve">学生提交后，老师进入 training 110 的“作业列表”。页面会显示学生姓名、提交状态、提交时间、作业内容和点评入口。当前 V6 本次交付核验中，student_demo_bi107 已提交，老师已在作业页完成 90 分点评。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课堂提醒：学生容易只做总量图，忽略业务维度。老师要追问“按什么对象比较”和“这个差异说明什么”。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课堂提醒：结论不能脱离图表证据。每条建议都要能回指到页面里的一个图表、指标或实训结果。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课堂提醒：学生提交前要确认已点击“提交作业”。只保存作品不等于老师能在作业列表看到提交。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00-common.md，本课只要求学生确认能看到“某公司人力薪酬分析实验班”。学生端不会显示老师的系统管理入口，只显示自己的课堂和学习入口。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4-1：学生视角课堂列表中的 1699 实验班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1699 实验班后的项目实训卡片</w:t>
      </w:r>
    </w:p>
    <w:p>
      <w:pPr>
        <w:spacing w:after="120" w:before="80" w:line="320"/>
      </w:pPr>
      <w:r>
        <w:t xml:space="preserve">学生点击“开启实训”后进入实训页面。学校环境核验显示：学生可以进入实训入口，保存当前作品，并点击“提交作业”。提交接口返回 code=0000，平台已记录学生提交进度。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完成图表或实训步骤。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点击“保存”保存当前作品。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4-3：学生视角实训页面，保存与提交入口均可见</w:t>
      </w:r>
    </w:p>
    <w:p>
      <w:pPr>
        <w:pStyle w:val="Heading2"/>
        <w:spacing w:after="140" w:before="180"/>
      </w:pPr>
      <w:r>
        <w:t xml:space="preserve">4.2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1699；实训不会做时，老师回到本课业务问题，帮助学生重新选择分析对象和指标。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90 分；学情页面可正常打开，统计区可用于课堂进度查看。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 1699 课堂统计入口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90 分，提交后页面显示学生提交记录和教师评分结果。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90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提供学生列表、完成情况、平均分和导出入口。老师在正式课堂中应先完成评分，再刷新统计页核对实训完成数和平均分；如统计尚未刷新，优先确认学生是否已提交、老师是否已点评。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学生不知道分析什么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回到人力资源与薪酬管理背景，先定业务问题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从薪酬结构做第一个示范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学生图表过粗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检查是否只有总量，没有维度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增加业务对象或时间维度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业务建议空泛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要求学生指出图表证据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把建议绑定到具体指标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未提交时先让学生回实训页面提交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老师不要只讲工具按钮，要把每个图表和人力资源与薪酬管理动作绑定。课堂总结时让学生用一句业务语言解释图表，而不是只说“我做了柱状图”。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本课对应数据分析基础、商业智能工具应用、人力资源与薪酬管理数据理解、业务问题分析四类能力。评价时建议同时看图表完整性、维度选择准确性、业务结论表达和建议可操作性。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eb63cb9e11d39eb9d922861232a5c081721bf4.undefined"/><Relationship Id="rId10" Type="http://schemas.openxmlformats.org/officeDocument/2006/relationships/image" Target="media/433bfd1a56458682fb05496d73b6e70c2c17ba0c.undefined"/><Relationship Id="rId11" Type="http://schemas.openxmlformats.org/officeDocument/2006/relationships/image" Target="media/ca5f4bdbd98e12452a2eb3452743f1d9edae6cbd.undefined"/><Relationship Id="rId12" Type="http://schemas.openxmlformats.org/officeDocument/2006/relationships/image" Target="media/51d9e4a8e6803f4ac86cdb154e5b9318352ebddf.undefined"/><Relationship Id="rId13" Type="http://schemas.openxmlformats.org/officeDocument/2006/relationships/image" Target="media/9369662b20c176e2d91bbdf46c4bf39022a84597.undefined"/><Relationship Id="rId14" Type="http://schemas.openxmlformats.org/officeDocument/2006/relationships/image" Target="media/24a81b3e956cd2f7d4b3801b9c695e1e073d8737.undefined"/><Relationship Id="rId15" Type="http://schemas.openxmlformats.org/officeDocument/2006/relationships/image" Target="media/4989f73d059152fe5724b537d819b5d103070b7d.undefined"/><Relationship Id="rId16" Type="http://schemas.openxmlformats.org/officeDocument/2006/relationships/image" Target="media/774287cfa12906271f4f93ecb54dd7a91fae09f3.undefined"/><Relationship Id="rId17" Type="http://schemas.openxmlformats.org/officeDocument/2006/relationships/image" Target="media/4f3d34fcc73b23ae0e1401de6a92f9760fb921f6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某公司人力薪酬分析 - 教师上课指南 V6</dc:title>
  <dc:creator>Tempo Talents</dc:creator>
  <dc:description>Tempo Talents 教师上课指南</dc:description>
  <cp:lastModifiedBy>Un-named</cp:lastModifiedBy>
  <cp:revision>1</cp:revision>
  <dcterms:created xsi:type="dcterms:W3CDTF">2026-05-08T05:32:42.452Z</dcterms:created>
  <dcterms:modified xsi:type="dcterms:W3CDTF">2026-05-08T05:32:42.452Z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