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22 September 2026</w:t>
        <w:br/>
        <w:t>Editor-in-Chief</w:t>
        <w:br/>
        <w:t>Neurocomputing</w:t>
      </w:r>
    </w:p>
    <w:p>
      <w:r>
        <w:t>Dear Editor,</w:t>
      </w:r>
    </w:p>
    <w:p>
      <w:r>
        <w:t>Please consider my research article, “Exact stability certificates for neural temporal knowledge graph completion”, for publication in Neurocomputing. The paper addresses a practical question in neural knowledge systems: how can an answer remain inspectable and maintainable when a coherent period of supporting evidence is withdrawn?</w:t>
      </w:r>
    </w:p>
    <w:p>
      <w:r>
        <w:t>The central contribution is an exactly certifiable interface between a frozen neural predictor and an editable temporal memory. Although deleting evidence renormalizes the memory distribution, a ratio-to-additive reduction yields an exact worst-case window-deletion certificate and a constructive counterexample when certification fails. A sparse competitor reduction preserves the full-vocabulary guarantee, while a reverse index supports local maintenance of both answers and certificates.</w:t>
      </w:r>
    </w:p>
    <w:p>
      <w:r>
        <w:t>The study evaluates two temporal backbones with three training seeds on ICEWS14 and ICEWS05-15, with confidence, temperature-scaling and ensemble controls on matched predictions. Analytical bounds, random deletion probes and alternative temporal partitions test the role of exact certification. A separate maintenance experiment extends the computational evaluation to a 2.3-million-event GDELT history. The manuscript includes the central figures and results; executable analyses, source data and editable figures accompany the public code release.</w:t>
      </w:r>
    </w:p>
    <w:p>
      <w:r>
        <w:t>The work fits Neurocomputing through its connection between neural temporal representations, reliable inference and efficient knowledge maintenance. Its contribution is a precise inference capability with a proved guarantee and measured operating trade-offs. This combination should interest readers developing trustworthy neural reasoning systems and temporal graph applications.</w:t>
      </w:r>
    </w:p>
    <w:p>
      <w:r>
        <w:t>The study received no external funding, and I declare no related competing interests. The manuscript discloses the use of OpenAI Codex in the research and preparation workflow.</w:t>
      </w:r>
    </w:p>
    <w:p>
      <w:r>
        <w:t>Sincerely,</w:t>
        <w:br/>
        <w:t>Yanbo Bian</w:t>
        <w:br/>
        <w:t>Weihai International College, Beijing Jiaotong University, Weihai 264401, China</w:t>
        <w:br/>
        <w:t>24722081@bjtu.edu.cn</w:t>
      </w:r>
    </w:p>
    <w:sectPr w:rsidR="00FC693F" w:rsidRPr="0006063C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