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Exact certificates identify answers invariant to shared temporal-window deletion.</w:t>
      </w:r>
    </w:p>
    <w:p>
      <w:pPr>
        <w:pStyle w:val="ListBullet"/>
      </w:pPr>
      <w:r>
        <w:t>A ratio-to-additive reduction makes renormalized evidence exactly certifiable.</w:t>
      </w:r>
    </w:p>
    <w:p>
      <w:pPr>
        <w:pStyle w:val="ListBullet"/>
      </w:pPr>
      <w:r>
        <w:t>Sparse competitor reduction preserves guarantees over the full entity vocabulary.</w:t>
      </w:r>
    </w:p>
    <w:p>
      <w:pPr>
        <w:pStyle w:val="ListBullet"/>
      </w:pPr>
      <w:r>
        <w:t>Certified selection combines calibrated correctness with explicit edit tolerance.</w:t>
      </w:r>
    </w:p>
    <w:p>
      <w:pPr>
        <w:pStyle w:val="ListBullet"/>
      </w:pPr>
      <w:r>
        <w:t>Local maintenance refreshes affected predictions and certificates after edits.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