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CONSULENZA</w:t>
      </w:r>
    </w:p>
    <w:p>
      <w:r>
        <w:t>Data e ora: 23/04/2026 16:45:37</w:t>
      </w:r>
    </w:p>
    <w:p>
      <w:r>
        <w:t>REPORT CONSULENZA - 23/04/2026 16:45:37</w:t>
      </w:r>
    </w:p>
    <w:p>
      <w:r>
        <w:t>PROFILO CLIENTE:</w:t>
        <w:br/>
        <w:t>Bilanciato</w:t>
      </w:r>
    </w:p>
    <w:p>
      <w:r>
        <w:t>VARIAZIONI RISPETTO ALL'ULTIMO REPORT:</w:t>
        <w:br/>
        <w:t>- Nessuna variazione rilevante rispetto all'ultimo report archiviato.</w:t>
      </w:r>
    </w:p>
    <w:p>
      <w:r>
        <w:t>MERCATI:</w:t>
        <w:br/>
        <w:t>- S&amp;P500: 7135.81 (positivo)</w:t>
        <w:br/>
        <w:t>- Nasdaq: 24575.74 (positivo)</w:t>
        <w:br/>
        <w:t>- Oro: 4745.8 (negativo)</w:t>
        <w:br/>
        <w:t>- Petrolio: 93.39 (positivo)</w:t>
      </w:r>
    </w:p>
    <w:p>
      <w:r>
        <w:t>OUTLOOK:</w:t>
        <w:br/>
        <w:t>Il quadro generale resta costruttivo: gli indici principali tengono bene e il tono di mercato rimane favorevole.</w:t>
      </w:r>
    </w:p>
    <w:p>
      <w:r>
        <w:t>STRATEGIA:</w:t>
        <w:br/>
        <w:t>Approccio equilibrato: ricerca di rendimento con attenzione alla tenuta complessiva del portafoglio.</w:t>
        <w:br/>
        <w:t>Il contesto consente di essere un po' più costruttivi, ma sempre con ingressi graduali e senza inseguire il mercato.</w:t>
        <w:br/>
        <w:t>Meglio privilegiare strumenti liquidi, diversificati e facilmente monitorabili.</w:t>
      </w:r>
    </w:p>
    <w:p>
      <w:r>
        <w:t>STRUMENTI AZIONARI SUGGERITI:</w:t>
        <w:br/>
        <w:t>- Fidelity Funds - European Dynamic Growth Fund</w:t>
        <w:br/>
        <w:t>- Pictet - Global Megatrend Selection</w:t>
        <w:br/>
        <w:t>- MS INVF - Global Opportunity Fund</w:t>
        <w:br/>
        <w:t>- JPMorgan Funds - Global Focus Fund</w:t>
      </w:r>
    </w:p>
    <w:p>
      <w:r>
        <w:t>STRUMENTI OBBLIGAZIONARI SUGGERITI:</w:t>
        <w:br/>
        <w:t>- Franklin Templeton Investment Funds - Global Bond Fund</w:t>
        <w:br/>
        <w:t>- Nordea 1 - European Covered Bond Fund</w:t>
        <w:br/>
        <w:t>- Carmignac Sécurité</w:t>
        <w:br/>
        <w:t>- Amundi Funds - Global Aggregate Bond</w:t>
      </w:r>
    </w:p>
    <w:p>
      <w:r>
        <w:t>STRUMENTI COMMODITIES SUGGERITI:</w:t>
        <w:br/>
        <w:t>- BlackRock Global Funds - World Gold Fund</w:t>
        <w:br/>
        <w:t>- Schroder ISF - Global Energy</w:t>
      </w:r>
    </w:p>
    <w:p>
      <w:r>
        <w:t>STRUMENTI ABSOLUTE / TOTAL RETURN:</w:t>
        <w:br/>
        <w:t>- Nessuno</w:t>
      </w:r>
    </w:p>
    <w:p>
      <w:r>
        <w:t>ASSET ALLOCATION BASE:</w:t>
        <w:br/>
        <w:t>- Azionario: 45%</w:t>
        <w:br/>
        <w:t>- Obbligazionario: 35%</w:t>
        <w:br/>
        <w:t>- Commodities: 10%</w:t>
        <w:br/>
        <w:t>- Liquidità: 10%</w:t>
      </w:r>
    </w:p>
    <w:p>
      <w:r>
        <w:t>ASSET ALLOCATION TATTICA:</w:t>
        <w:br/>
        <w:t>- Azionario: 50%</w:t>
        <w:br/>
        <w:t>- Obbligazionario: 30%</w:t>
        <w:br/>
        <w:t>- Commodities: 10%</w:t>
        <w:br/>
        <w:t>- Liquidità: 10%</w:t>
      </w:r>
    </w:p>
    <w:p>
      <w:r>
        <w:t>MACROECONOMIA E PROIEZIONI:</w:t>
        <w:br/>
        <w:t>USA</w:t>
        <w:br/>
        <w:t>- Inflazione: 2.95% → 3.23%</w:t>
        <w:br/>
        <w:t>- GDP: 2.79% → 2.88%</w:t>
        <w:br/>
        <w:t>- Tassi: 3.25% → 3.28%</w:t>
        <w:br/>
        <w:t>- Consumi: 2.53% → 2.65%</w:t>
        <w:br/>
        <w:t>- Disoccupazione: 4.2% → 4.09%</w:t>
        <w:br/>
        <w:t>- Posti di lavoro (proxy): 59.11% → 59.12%</w:t>
        <w:br/>
        <w:t>- Leading interno: 100.46 → 100.49</w:t>
        <w:br/>
        <w:t>- Commento: crescita discreta, mercato del lavoro solido</w:t>
      </w:r>
    </w:p>
    <w:p>
      <w:r>
        <w:t>Cina</w:t>
        <w:br/>
        <w:t>- Inflazione: 0.22% → 0.03%</w:t>
        <w:br/>
        <w:t>- GDP: 4.98% → 4.82%</w:t>
        <w:br/>
        <w:t>- Tassi: 4.35% → 4.35%</w:t>
        <w:br/>
        <w:t>- Consumi: 4.98% → 4.85%</w:t>
        <w:br/>
        <w:t>- Disoccupazione: 4.62% → 4.62%</w:t>
        <w:br/>
        <w:t>- Posti di lavoro (proxy): 61.57% → 61.27%</w:t>
        <w:br/>
        <w:t>- Leading interno: 99.54 → 99.48</w:t>
        <w:br/>
        <w:t>- Commento: inflazione più sotto controllo, crescita discreta, mercato del lavoro solido</w:t>
      </w:r>
    </w:p>
    <w:p>
      <w:r>
        <w:t>Euro Area</w:t>
        <w:br/>
        <w:t>- Inflazione: n.d. → n.d.</w:t>
        <w:br/>
        <w:t>- GDP: 0.91% → 0.92%</w:t>
        <w:br/>
        <w:t>- Tassi: 2.0% → 2.0%</w:t>
        <w:br/>
        <w:t>- Consumi: 0.55% → 0.62%</w:t>
        <w:br/>
        <w:t>- Disoccupazione: 6.33% → 6.11%</w:t>
        <w:br/>
        <w:t>- Posti di lavoro (proxy): 53.37% → 53.54%</w:t>
        <w:br/>
        <w:t>- Leading interno: 100.43 → 100.43</w:t>
        <w:br/>
        <w:t>- Commento: quadro macro abbastanza neutro</w:t>
      </w:r>
    </w:p>
    <w:p>
      <w:r>
        <w:t>Germania</w:t>
        <w:br/>
        <w:t>- Inflazione: 2.26% → 2.61%</w:t>
        <w:br/>
        <w:t>- GDP: -0.5% → -0.67%</w:t>
        <w:br/>
        <w:t>- Tassi: n.d. → n.d.</w:t>
        <w:br/>
        <w:t>- Consumi: -0.72% → -0.8%</w:t>
        <w:br/>
        <w:t>- Disoccupazione: 3.71% → 3.7%</w:t>
        <w:br/>
        <w:t>- Posti di lavoro (proxy): 58.32% → 58.33%</w:t>
        <w:br/>
        <w:t>- Leading interno: 99.62 → 99.55</w:t>
        <w:br/>
        <w:t>- Commento: crescita debole, mercato del lavoro solido</w:t>
      </w:r>
    </w:p>
    <w:p>
      <w:r>
        <w:t>Italia</w:t>
        <w:br/>
        <w:t>- Inflazione: 0.98% → 1.33%</w:t>
        <w:br/>
        <w:t>- GDP: 0.69% → 0.86%</w:t>
        <w:br/>
        <w:t>- Tassi: n.d. → n.d.</w:t>
        <w:br/>
        <w:t>- Consumi: 1.22% → 1.44%</w:t>
        <w:br/>
        <w:t>- Disoccupazione: 6.39% → 5.95%</w:t>
        <w:br/>
        <w:t>- Posti di lavoro (proxy): 46.15% → 46.4%</w:t>
        <w:br/>
        <w:t>- Leading interno: 101.23 → 101.29</w:t>
        <w:br/>
        <w:t>- Commento: inflazione più sotto controllo</w:t>
      </w:r>
    </w:p>
    <w:p>
      <w:r>
        <w:t>NOTE INTERMARKET:</w:t>
        <w:br/>
        <w:t>- Il petrolio in rialzo può mantenere viva la sensibilità sul tema inflazione.</w:t>
      </w:r>
    </w:p>
    <w:p>
      <w:r>
        <w:t>ANALISI TECNICA / FRATTALI:</w:t>
        <w:br/>
        <w:t>Quadro tecnico misto: meglio aspettare conferme dove serve.</w:t>
        <w:br/>
        <w:t>Semafori: Verde 1 | Giallo 5 | Rosso 0</w:t>
      </w:r>
    </w:p>
    <w:p>
      <w:r>
        <w:t>- 🟡 S&amp;P500 (attesa / conferma)</w:t>
        <w:br/>
        <w:t xml:space="preserve">  Prezzo: 7135.84</w:t>
        <w:br/>
        <w:t xml:space="preserve">  Frattale rialzista: 7147.52 (2026-04-17)</w:t>
        <w:br/>
        <w:t xml:space="preserve">  Frattale ribassista: 7050.2 (2026-04-21)</w:t>
        <w:br/>
        <w:t xml:space="preserve">  Stato: neutrale</w:t>
        <w:br/>
        <w:t xml:space="preserve">  Nota: Prezzo ancora in mezzo ai livelli chiave: serve conferma.</w:t>
        <w:br/>
        <w:t>- 🟢 Nasdaq (setup favorevole)</w:t>
        <w:br/>
        <w:t xml:space="preserve">  Prezzo: 24575.74</w:t>
        <w:br/>
        <w:t xml:space="preserve">  Frattale rialzista: 22189.34 (2026-03-23)</w:t>
        <w:br/>
        <w:t xml:space="preserve">  Frattale ribassista: 24198.99 (2026-04-21)</w:t>
        <w:br/>
        <w:t xml:space="preserve">  Stato: rialzista</w:t>
        <w:br/>
        <w:t xml:space="preserve">  Nota: Prezzo sopra l'ultimo frattale rialzista e sopra media 20 giorni.</w:t>
        <w:br/>
        <w:t>- 🟡 Oro (attesa / conferma)</w:t>
        <w:br/>
        <w:t xml:space="preserve">  Prezzo: 4745.8</w:t>
        <w:br/>
        <w:t xml:space="preserve">  Frattale rialzista: 4879.7 (2026-04-17)</w:t>
        <w:br/>
        <w:t xml:space="preserve">  Frattale ribassista: 4676.4 (2026-04-21)</w:t>
        <w:br/>
        <w:t xml:space="preserve">  Stato: neutrale</w:t>
        <w:br/>
        <w:t xml:space="preserve">  Nota: Prezzo ancora in mezzo ai livelli chiave: serve conferma.</w:t>
        <w:br/>
        <w:t>- 🟡 EUR/USD (attesa / conferma)</w:t>
        <w:br/>
        <w:t xml:space="preserve">  Prezzo: 1.17</w:t>
        <w:br/>
        <w:t xml:space="preserve">  Frattale rialzista: 1.19 (2026-04-17)</w:t>
        <w:br/>
        <w:t xml:space="preserve">  Frattale ribassista: 1.15 (2026-04-06)</w:t>
        <w:br/>
        <w:t xml:space="preserve">  Stato: neutrale</w:t>
        <w:br/>
        <w:t xml:space="preserve">  Nota: Prezzo ancora in mezzo ai livelli chiave: serve conferma.</w:t>
        <w:br/>
        <w:t>- 🟡 Bitcoin (attesa / conferma)</w:t>
        <w:br/>
        <w:t xml:space="preserve">  Prezzo: 77947.5</w:t>
        <w:br/>
        <w:t xml:space="preserve">  Frattale rialzista: 78320.68 (2026-04-17)</w:t>
        <w:br/>
        <w:t xml:space="preserve">  Frattale ribassista: 73775.57 (2026-04-20)</w:t>
        <w:br/>
        <w:t xml:space="preserve">  Stato: neutrale</w:t>
        <w:br/>
        <w:t xml:space="preserve">  Nota: Prezzo ancora in mezzo ai livelli chiave: serve conferma.</w:t>
        <w:br/>
        <w:t>- 🟡 Ethereum (attesa / conferma)</w:t>
        <w:br/>
        <w:t xml:space="preserve">  Prezzo: 2332.53</w:t>
        <w:br/>
        <w:t xml:space="preserve">  Frattale rialzista: 2464.78 (2026-04-17)</w:t>
        <w:br/>
        <w:t xml:space="preserve">  Frattale ribassista: 2254.7 (2026-04-19)</w:t>
        <w:br/>
        <w:t xml:space="preserve">  Stato: neutrale</w:t>
        <w:br/>
        <w:t xml:space="preserve">  Nota: Prezzo ancora in mezzo ai livelli chiave: serve conferma.</w:t>
      </w:r>
    </w:p>
    <w:p>
      <w:r>
        <w:t>AZIONI OPERATIVE:</w:t>
        <w:br/>
        <w:t>- Si può aumentare il rischio in modo graduale, senza entrare tutto insieme.</w:t>
        <w:br/>
        <w:t>- Il quadro tecnico aggregato è misto: meglio evitare sovraesposizioni e restare selettivi.</w:t>
        <w:br/>
        <w:t>- Azionario USA non perfettamente allineato: serve conferma.</w:t>
        <w:br/>
        <w:t>- Il comparto crypto manda segnali misti: meglio disciplina e selettività.</w:t>
      </w:r>
    </w:p>
    <w:p>
      <w:r>
        <w:t>NEWS RILEVANTI:</w:t>
        <w:br/>
        <w:t>- Nessuna news disponibile al momento.</w:t>
      </w:r>
    </w:p>
    <w:p>
      <w:r>
        <w:t>Nota confronto: l'asterisco * evidenzia le voci cambiate rispetto all'ultimo report archiviato dello stesso profilo.</w:t>
      </w:r>
    </w:p>
    <w:p>
      <w:r>
        <w:t>Disclaimer: il presente report è frutto di ricerca ed elaborazione tramite software proprietario. Ha finalità esclusivamente informative, di supporto all'analisi e di discussione professionale. Non costituisce consulenza personalizzata, raccomandazione individuale, sollecitazione all'investimento, offerta o invito all'acquisto o alla vendita di strumenti finanziari. Le analisi quantitative, tecniche, macroeconomiche e previsionali hanno natura indicativa e non garantiscono risultati futuri. I mercati possono evolvere in modo differente rispetto agli scenari ipotizzati. Prima di assumere decisioni operative è sempre opportuno verificare l'adeguatezza dello strumento, il profilo di rischio, i costi, la documentazione ufficiale e l'orizzonte temporale dell'investitore.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