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such a label be useful to prioritize the issues that should be addressed?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Sim, seria muito útil. No entanto, eu exergo que vem uma questão depois disso: o que o time de Engenharia está priorizando no momento? Um cenário para entender: no segundo semestre do ano passado o TD que estava sendo priorizado no Nubank era que cada time desenhasse a arquitetura de seus microserviços usando o C4 model. Então qualquer report de technical debt sobre código, deployment, teste, etc.. estava sendo "não priorizado". Só estou contando esse exemplo porque (eu não sei como você vai usar essa informação, de repente, num paper) seria interessante ligar a esse fato, de que sim, seria muito útil, desde que esteja alinhado às prioridades de TD naquele momento. Se não, vai virar só um card no Jira que vai ficar lá até não sei quando (kkkkkk - e isso acontece muito).</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Based on the label assigned to the issue, would it help if the bot also notifies the developer and/or manager about the issue?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Sim, principalmente para o developer (o developer, num cenário de Continuous Software Engineering, por exemplo, tem muita autonomia). Menos uma coisa pro manager se preocupar.</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If no, is there any situation (e.g., if a certain threshold is reached) that notifications about issues would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