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such a label be useful to prioritize the issues that should be addressed?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It very much depends on what you are using Jira for, how you are using Jira and/or if you are using Jira at all.</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Based on the label assigned to the issue, would it help if the bot also notifies the developer and/or manager about the issue?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Probably not as there is a high risk that you are flooded with notifications and notification will soon be lost if you does not tackle it immediately.</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no, is there any situation (e.g., if a certain threshold is reached) that notifications about issues would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No clue.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Still "technical debt" is subjective where on think it is is low whereas another think it is. But you anyway will do changes "close to" subject you can anyway look at it.</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