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such a label be useful to prioritize the issues that should be addressed?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It would be easier to maintain a balance between working on new code vs tackling tech debt of old code.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Based on the label assigned to the issue, would it help if the bot also notifies the developer and/or manager about the issue?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don't think so. Jira and other ticketing systems already have their own notification systems. Interested stakeholders can monitor these. And even without instant notifications, when the issue is reviewed the message offering the label will be there as the last interaction.</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no, is there any situation (e.g., if a certain threshold is reached) that notifications about issues would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think reusing the ticketing system features is for the best. You should be able to configure queries and notifications based on the labels, for example. The only scenario that I think might be useful is notifying about not addressed tickets, but that would require a way to decline the offer too.</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In general I think tasks about tech debt are usually very clear, the bot offering the label might be good to help teams that don't tackle tech debt yet, but it will end up adding cognitive load and noise to more mature teams.</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