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I'm very skeptical that the designation of a particular problem as "technical debt" is useful to anyone. What behavior would you expect this to drive? I'm also skeptical about the anticipated quality of reported issues, though I recognize that this will vary widely between projects.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No, and I think my previous answer covers this.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