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3A5F"/>
          <w:sz w:val="44"/>
        </w:rPr>
        <w:t>Worksheet — Springs in Series and Parallel</w:t>
      </w:r>
    </w:p>
    <w:p>
      <w:r>
        <w:rPr>
          <w:color w:val="606060"/>
          <w:sz w:val="24"/>
        </w:rPr>
        <w:t xml:space="preserve">Use with </w:t>
      </w:r>
      <w:r>
        <w:rPr>
          <w:i/>
          <w:color w:val="606060"/>
          <w:sz w:val="24"/>
        </w:rPr>
        <w:t>Simulation - Springs in series and parallel.html</w:t>
      </w:r>
      <w:r>
        <w:rPr>
          <w:color w:val="606060"/>
          <w:sz w:val="24"/>
        </w:rPr>
        <w:t xml:space="preserve"> · extension of Hooke's law (beyond the IB SL guide)</w:t>
      </w:r>
    </w:p>
    <w:p>
      <w:pPr>
        <w:spacing w:after="0"/>
      </w:pPr>
      <w:r>
        <w:rPr>
          <w:color w:val="1F3A5F"/>
          <w:sz w:val="20"/>
        </w:rPr>
        <w:t>Biljana Taneska · Physics teacher · btaneska@vis.ac.at</w:t>
      </w:r>
    </w:p>
    <w:p>
      <w:pPr>
        <w:pBdr>
          <w:bottom w:val="single" w:sz="12" w:space="1" w:color="E65100"/>
        </w:pBdr>
        <w:spacing w:after="120"/>
      </w:pPr>
    </w:p>
    <w:p>
      <w:pPr>
        <w:spacing w:after="120"/>
      </w:pPr>
      <w:r>
        <w:rPr/>
        <w:t>Name: ______________________________   Class: ________   Date: ______________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710"/>
        <w:gridCol w:w="1928"/>
      </w:tblGrid>
      <w:tr>
        <w:tc>
          <w:tcPr>
            <w:tcW w:type="dxa" w:w="7710"/>
            <w:shd w:val="clear" w:color="auto" w:fill="E3F2FD"/>
          </w:tcPr>
          <w:p>
            <w:r>
              <w:rPr>
                <w:b/>
                <w:color w:val="1F3A5F"/>
                <w:sz w:val="22"/>
              </w:rPr>
              <w:t>How to use this worksheet</w:t>
            </w:r>
          </w:p>
          <w:p>
            <w:pPr>
              <w:spacing w:after="20"/>
            </w:pPr>
            <w:r>
              <w:rPr>
                <w:sz w:val="20"/>
              </w:rPr>
              <w:t xml:space="preserve">Scan the QR code or open </w:t>
            </w:r>
            <w:r>
              <w:rPr>
                <w:b/>
                <w:sz w:val="20"/>
              </w:rPr>
              <w:t>biba0112.github.io/physics-sims/06-springs-series-parallel</w:t>
            </w:r>
            <w:r>
              <w:rPr>
                <w:sz w:val="20"/>
              </w:rPr>
              <w:t xml:space="preserve"> in a browser (offline: </w:t>
            </w:r>
            <w:r>
              <w:rPr>
                <w:i/>
                <w:sz w:val="20"/>
              </w:rPr>
              <w:t>Simulation - Springs in series and parallel.html</w:t>
            </w:r>
            <w:r>
              <w:rPr>
                <w:sz w:val="20"/>
              </w:rPr>
              <w:t xml:space="preserve">). Choose the arrangement and the two springs, add a load and press </w:t>
            </w:r>
            <w:r>
              <w:rPr>
                <w:b/>
                <w:sz w:val="20"/>
              </w:rPr>
              <w:t>● Record</w:t>
            </w:r>
            <w:r>
              <w:rPr>
                <w:sz w:val="20"/>
              </w:rPr>
              <w:t xml:space="preserve">. The </w:t>
            </w:r>
            <w:r>
              <w:rPr>
                <w:b/>
                <w:sz w:val="20"/>
              </w:rPr>
              <w:t>Tasks</w:t>
            </w:r>
            <w:r>
              <w:rPr>
                <w:sz w:val="20"/>
              </w:rPr>
              <w:t xml:space="preserve"> tab has the same three parts as this sheet.</w:t>
            </w:r>
          </w:p>
          <w:p>
            <w:pPr>
              <w:spacing w:after="20"/>
            </w:pPr>
            <w:r>
              <w:rPr>
                <w:b/>
                <w:sz w:val="20"/>
              </w:rPr>
              <w:t>Part 1</w:t>
            </w:r>
            <w:r>
              <w:rPr>
                <w:sz w:val="20"/>
              </w:rPr>
              <w:t xml:space="preserve"> before the lab (≈ 15 min) · </w:t>
            </w:r>
            <w:r>
              <w:rPr>
                <w:b/>
                <w:sz w:val="20"/>
              </w:rPr>
              <w:t>Part 2</w:t>
            </w:r>
            <w:r>
              <w:rPr>
                <w:sz w:val="20"/>
              </w:rPr>
              <w:t xml:space="preserve"> during the lab with two school springs (≈ 10 min) · </w:t>
            </w:r>
            <w:r>
              <w:rPr>
                <w:b/>
                <w:sz w:val="20"/>
              </w:rPr>
              <w:t>Part 3</w:t>
            </w:r>
            <w:r>
              <w:rPr>
                <w:sz w:val="20"/>
              </w:rPr>
              <w:t xml:space="preserve"> homework (≈ 30 min).</w:t>
            </w:r>
          </w:p>
          <w:p>
            <w:pPr>
              <w:spacing w:after="20"/>
            </w:pPr>
            <w:r>
              <w:rPr>
                <w:sz w:val="20"/>
              </w:rPr>
              <w:t xml:space="preserve">Use </w:t>
            </w:r>
            <w:r>
              <w:rPr>
                <w:i/>
                <w:sz w:val="20"/>
              </w:rPr>
              <w:t>g</w:t>
            </w:r>
            <w:r>
              <w:rPr>
                <w:sz w:val="20"/>
              </w:rPr>
              <w:t xml:space="preserve"> = 9.81 N kg</w:t>
            </w:r>
            <w:r>
              <w:rPr>
                <w:sz w:val="20"/>
                <w:vertAlign w:val="superscript"/>
              </w:rPr>
              <w:t>−1</w:t>
            </w:r>
            <w:r>
              <w:rPr>
                <w:sz w:val="20"/>
              </w:rPr>
              <w:t xml:space="preserve">. Effective spring constant </w:t>
            </w:r>
            <w:r>
              <w:rPr>
                <w:i/>
                <w:sz w:val="20"/>
              </w:rPr>
              <w:t>k</w:t>
            </w:r>
            <w:r>
              <w:rPr>
                <w:sz w:val="20"/>
                <w:vertAlign w:val="subscript"/>
              </w:rPr>
              <w:t>eff</w:t>
            </w:r>
            <w:r>
              <w:rPr>
                <w:sz w:val="20"/>
              </w:rPr>
              <w:t xml:space="preserve"> = </w:t>
            </w:r>
            <w:r>
              <w:rPr>
                <w:i/>
                <w:sz w:val="20"/>
              </w:rPr>
              <w:t>F</w:t>
            </w:r>
            <w:r>
              <w:rPr>
                <w:sz w:val="20"/>
              </w:rPr>
              <w:t>/</w:t>
            </w:r>
            <w:r>
              <w:rPr>
                <w:i/>
                <w:sz w:val="20"/>
              </w:rPr>
              <w:t>x</w:t>
            </w:r>
            <w:r>
              <w:rPr>
                <w:sz w:val="20"/>
              </w:rPr>
              <w:t xml:space="preserve">, with </w:t>
            </w:r>
            <w:r>
              <w:rPr>
                <w:i/>
                <w:sz w:val="20"/>
              </w:rPr>
              <w:t>x</w:t>
            </w:r>
            <w:r>
              <w:rPr>
                <w:sz w:val="20"/>
              </w:rPr>
              <w:t xml:space="preserve"> the total extension in metres.</w:t>
            </w:r>
          </w:p>
        </w:tc>
        <w:tc>
          <w:tcPr>
            <w:tcW w:type="dxa" w:w="1928"/>
            <w:shd w:val="clear" w:color="auto" w:fill="E3F2FD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44000" cy="104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 - Springs in series and parallel simulatio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4000" cy="104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606060"/>
                <w:sz w:val="16"/>
              </w:rPr>
              <w:t>Scan to open</w:t>
            </w:r>
          </w:p>
        </w:tc>
      </w:tr>
    </w:tbl>
    <w:p>
      <w:pPr>
        <w:spacing w:after="40"/>
      </w:pPr>
    </w:p>
    <w:p>
      <w:pPr>
        <w:pStyle w:val="Heading1"/>
      </w:pPr>
      <w:r>
        <w:rPr/>
        <w:t>Part 1 — Pre-lab: predict, then test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1928"/>
        <w:gridCol w:w="1928"/>
        <w:gridCol w:w="2608"/>
      </w:tblGrid>
      <w:tr>
        <w:tc>
          <w:tcPr>
            <w:tcW w:type="dxa" w:w="3175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Question</w:t>
            </w:r>
          </w:p>
        </w:tc>
        <w:tc>
          <w:tcPr>
            <w:tcW w:type="dxa" w:w="1928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My prediction (before)</w:t>
            </w:r>
          </w:p>
        </w:tc>
        <w:tc>
          <w:tcPr>
            <w:tcW w:type="dxa" w:w="1928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What the simulation showed</w:t>
            </w:r>
          </w:p>
        </w:tc>
        <w:tc>
          <w:tcPr>
            <w:tcW w:type="dxa" w:w="2608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Physics explanation</w:t>
            </w:r>
          </w:p>
        </w:tc>
      </w:tr>
      <w:tr>
        <w:trPr>
          <w:trHeight w:val="1247"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9"/>
              </w:rPr>
              <w:t>1. Two identical springs in series carry the same load as one spring. Total extension?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2608"/>
          </w:tcPr>
          <w:p>
            <w:pPr>
              <w:spacing w:after="20"/>
            </w:pPr>
            <w:r/>
          </w:p>
        </w:tc>
      </w:tr>
      <w:tr>
        <w:trPr>
          <w:trHeight w:val="1247"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9"/>
              </w:rPr>
              <w:t>2. The same two springs in parallel carry the same load. Extension?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2608"/>
          </w:tcPr>
          <w:p>
            <w:pPr>
              <w:spacing w:after="20"/>
            </w:pPr>
            <w:r/>
          </w:p>
        </w:tc>
      </w:tr>
      <w:tr>
        <w:trPr>
          <w:trHeight w:val="1247"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9"/>
              </w:rPr>
              <w:t>3. In series with 200 g (1.96 N), what force acts in the top spring?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2608"/>
          </w:tcPr>
          <w:p>
            <w:pPr>
              <w:spacing w:after="20"/>
            </w:pPr>
            <w:r/>
          </w:p>
        </w:tc>
      </w:tr>
      <w:tr>
        <w:trPr>
          <w:trHeight w:val="1247"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9"/>
              </w:rPr>
              <w:t>4. Soft (12 N m⁻¹) and stiff (40 N m⁻¹) springs in parallel share a load. Which pulls harder?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2608"/>
          </w:tcPr>
          <w:p>
            <w:pPr>
              <w:spacing w:after="20"/>
            </w:pPr>
            <w:r/>
          </w:p>
        </w:tc>
      </w:tr>
    </w:tbl>
    <w:p>
      <w:pPr>
        <w:spacing w:after="40"/>
      </w:pPr>
    </w:p>
    <w:p>
      <w:pPr>
        <w:keepNext/>
      </w:pPr>
      <w:r>
        <w:rPr>
          <w:b/>
        </w:rPr>
        <w:t>5.</w:t>
      </w:r>
      <w:r>
        <w:rPr/>
        <w:t xml:space="preserve"> Show that for two springs in series 1/</w:t>
      </w:r>
      <w:r>
        <w:rPr>
          <w:i/>
        </w:rPr>
        <w:t>k</w:t>
      </w:r>
      <w:r>
        <w:rPr>
          <w:vertAlign w:val="subscript"/>
        </w:rPr>
        <w:t>eff</w:t>
      </w:r>
      <w:r>
        <w:rPr/>
        <w:t xml:space="preserve"> = 1/</w:t>
      </w:r>
      <w:r>
        <w:rPr>
          <w:i/>
        </w:rPr>
        <w:t>k</w:t>
      </w:r>
      <w:r>
        <w:rPr>
          <w:vertAlign w:val="subscript"/>
        </w:rPr>
        <w:t>A</w:t>
      </w:r>
      <w:r>
        <w:rPr/>
        <w:t xml:space="preserve"> + 1/</w:t>
      </w:r>
      <w:r>
        <w:rPr>
          <w:i/>
        </w:rPr>
        <w:t>k</w:t>
      </w:r>
      <w:r>
        <w:rPr>
          <w:vertAlign w:val="subscript"/>
        </w:rPr>
        <w:t>B</w:t>
      </w:r>
      <w:r>
        <w:rPr/>
        <w:t xml:space="preserve">, and for two springs in parallel </w:t>
      </w:r>
      <w:r>
        <w:rPr>
          <w:i/>
        </w:rPr>
        <w:t>k</w:t>
      </w:r>
      <w:r>
        <w:rPr>
          <w:vertAlign w:val="subscript"/>
        </w:rPr>
        <w:t>eff</w:t>
      </w:r>
      <w:r>
        <w:rPr/>
        <w:t xml:space="preserve"> = </w:t>
      </w:r>
      <w:r>
        <w:rPr>
          <w:i/>
        </w:rPr>
        <w:t>k</w:t>
      </w:r>
      <w:r>
        <w:rPr>
          <w:vertAlign w:val="subscript"/>
        </w:rPr>
        <w:t>A</w:t>
      </w:r>
      <w:r>
        <w:rPr/>
        <w:t xml:space="preserve"> + </w:t>
      </w:r>
      <w:r>
        <w:rPr>
          <w:i/>
        </w:rPr>
        <w:t>k</w:t>
      </w:r>
      <w:r>
        <w:rPr>
          <w:vertAlign w:val="subscript"/>
        </w:rPr>
        <w:t>B</w:t>
      </w:r>
      <w:r>
        <w:rPr/>
        <w:t>. (Hint: in series the force is the same; in parallel the extension is the same.)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402"/>
        </w:trPr>
        <w:tc>
          <w:tcPr>
            <w:tcW w:type="dxa" w:w="9638"/>
          </w:tcPr>
          <w:p>
            <w:r>
              <w:rPr>
                <w:color w:val="606060"/>
                <w:sz w:val="18"/>
              </w:rPr>
              <w:t>Working</w:t>
            </w:r>
          </w:p>
        </w:tc>
      </w:tr>
    </w:tbl>
    <w:p>
      <w:pPr>
        <w:spacing w:after="40"/>
      </w:pPr>
    </w:p>
    <w:p>
      <w:pPr>
        <w:pStyle w:val="Heading1"/>
      </w:pPr>
      <w:r>
        <w:rPr/>
        <w:t>Part 2 — During the lab: two school springs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1587"/>
        <w:gridCol w:w="2154"/>
        <w:gridCol w:w="2154"/>
        <w:gridCol w:w="2154"/>
      </w:tblGrid>
      <w:tr>
        <w:trPr>
          <w:trHeight w:val="454"/>
        </w:trPr>
        <w:tc>
          <w:tcPr>
            <w:tcW w:type="dxa" w:w="1474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>load / g</w:t>
            </w:r>
          </w:p>
        </w:tc>
        <w:tc>
          <w:tcPr>
            <w:tcW w:type="dxa" w:w="1587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i/>
                <w:color w:val="FFFFFF"/>
                <w:sz w:val="20"/>
              </w:rPr>
              <w:t>F</w:t>
            </w:r>
            <w:r>
              <w:rPr>
                <w:b/>
                <w:color w:val="FFFFFF"/>
                <w:sz w:val="20"/>
              </w:rPr>
              <w:t xml:space="preserve"> / N</w:t>
            </w:r>
          </w:p>
        </w:tc>
        <w:tc>
          <w:tcPr>
            <w:tcW w:type="dxa" w:w="2154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 xml:space="preserve">one spring </w:t>
            </w:r>
            <w:r>
              <w:rPr>
                <w:b/>
                <w:i/>
                <w:color w:val="FFFFFF"/>
                <w:sz w:val="20"/>
              </w:rPr>
              <w:t>x</w:t>
            </w:r>
            <w:r>
              <w:rPr>
                <w:b/>
                <w:color w:val="FFFFFF"/>
                <w:sz w:val="20"/>
              </w:rPr>
              <w:t xml:space="preserve"> / cm</w:t>
            </w:r>
          </w:p>
        </w:tc>
        <w:tc>
          <w:tcPr>
            <w:tcW w:type="dxa" w:w="2154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 xml:space="preserve">series </w:t>
            </w:r>
            <w:r>
              <w:rPr>
                <w:b/>
                <w:i/>
                <w:color w:val="FFFFFF"/>
                <w:sz w:val="20"/>
              </w:rPr>
              <w:t>x</w:t>
            </w:r>
            <w:r>
              <w:rPr>
                <w:b/>
                <w:color w:val="FFFFFF"/>
                <w:sz w:val="20"/>
              </w:rPr>
              <w:t xml:space="preserve"> / cm</w:t>
            </w:r>
          </w:p>
        </w:tc>
        <w:tc>
          <w:tcPr>
            <w:tcW w:type="dxa" w:w="2154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 xml:space="preserve">parallel </w:t>
            </w:r>
            <w:r>
              <w:rPr>
                <w:b/>
                <w:i/>
                <w:color w:val="FFFFFF"/>
                <w:sz w:val="20"/>
              </w:rPr>
              <w:t>x</w:t>
            </w:r>
            <w:r>
              <w:rPr>
                <w:b/>
                <w:color w:val="FFFFFF"/>
                <w:sz w:val="20"/>
              </w:rPr>
              <w:t xml:space="preserve"> / cm</w:t>
            </w:r>
          </w:p>
        </w:tc>
      </w:tr>
      <w:tr>
        <w:trPr>
          <w:trHeight w:val="454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20"/>
              </w:rPr>
              <w:t>100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</w:p>
        </w:tc>
        <w:tc>
          <w:tcPr>
            <w:tcW w:type="dxa" w:w="2154"/>
          </w:tcPr>
          <w:p>
            <w:pPr>
              <w:spacing w:after="20"/>
            </w:pPr>
            <w:r/>
          </w:p>
        </w:tc>
        <w:tc>
          <w:tcPr>
            <w:tcW w:type="dxa" w:w="2154"/>
          </w:tcPr>
          <w:p>
            <w:pPr>
              <w:spacing w:after="20"/>
            </w:pPr>
            <w:r/>
          </w:p>
        </w:tc>
        <w:tc>
          <w:tcPr>
            <w:tcW w:type="dxa" w:w="2154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1474"/>
            <w:shd w:val="clear" w:color="auto" w:fill="F2F5F9"/>
          </w:tcPr>
          <w:p>
            <w:pPr>
              <w:spacing w:after="20"/>
            </w:pPr>
            <w:r/>
            <w:r>
              <w:rPr>
                <w:sz w:val="20"/>
              </w:rPr>
              <w:t>200</w:t>
            </w:r>
          </w:p>
        </w:tc>
        <w:tc>
          <w:tcPr>
            <w:tcW w:type="dxa" w:w="1587"/>
            <w:shd w:val="clear" w:color="auto" w:fill="F2F5F9"/>
          </w:tcPr>
          <w:p>
            <w:pPr>
              <w:spacing w:after="20"/>
            </w:pPr>
            <w:r/>
          </w:p>
        </w:tc>
        <w:tc>
          <w:tcPr>
            <w:tcW w:type="dxa" w:w="2154"/>
            <w:shd w:val="clear" w:color="auto" w:fill="F2F5F9"/>
          </w:tcPr>
          <w:p>
            <w:pPr>
              <w:spacing w:after="20"/>
            </w:pPr>
            <w:r/>
          </w:p>
        </w:tc>
        <w:tc>
          <w:tcPr>
            <w:tcW w:type="dxa" w:w="2154"/>
            <w:shd w:val="clear" w:color="auto" w:fill="F2F5F9"/>
          </w:tcPr>
          <w:p>
            <w:pPr>
              <w:spacing w:after="20"/>
            </w:pPr>
            <w:r/>
          </w:p>
        </w:tc>
        <w:tc>
          <w:tcPr>
            <w:tcW w:type="dxa" w:w="2154"/>
            <w:shd w:val="clear" w:color="auto" w:fill="F2F5F9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20"/>
              </w:rPr>
              <w:t>300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</w:p>
        </w:tc>
        <w:tc>
          <w:tcPr>
            <w:tcW w:type="dxa" w:w="2154"/>
          </w:tcPr>
          <w:p>
            <w:pPr>
              <w:spacing w:after="20"/>
            </w:pPr>
            <w:r/>
          </w:p>
        </w:tc>
        <w:tc>
          <w:tcPr>
            <w:tcW w:type="dxa" w:w="2154"/>
          </w:tcPr>
          <w:p>
            <w:pPr>
              <w:spacing w:after="20"/>
            </w:pPr>
            <w:r/>
          </w:p>
        </w:tc>
        <w:tc>
          <w:tcPr>
            <w:tcW w:type="dxa" w:w="2154"/>
          </w:tcPr>
          <w:p>
            <w:pPr>
              <w:spacing w:after="20"/>
            </w:pPr>
            <w:r/>
          </w:p>
        </w:tc>
      </w:tr>
    </w:tbl>
    <w:p>
      <w:pPr>
        <w:spacing w:after="40"/>
      </w:pPr>
    </w:p>
    <w:p>
      <w:pPr>
        <w:keepNext/>
      </w:pPr>
      <w:r>
        <w:rPr>
          <w:b/>
        </w:rPr>
        <w:t>6.</w:t>
      </w:r>
      <w:r>
        <w:rPr/>
        <w:t xml:space="preserve"> Plot all three sets on one graph and draw a best-fit line through the origin for each.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25697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06_fx_blan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569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7.</w:t>
      </w:r>
      <w:r>
        <w:rPr/>
        <w:t xml:space="preserve"> </w:t>
      </w:r>
      <w:r>
        <w:rPr>
          <w:i/>
        </w:rPr>
        <w:t>k</w:t>
      </w:r>
      <w:r>
        <w:rPr/>
        <w:t xml:space="preserve"> (one spring) = ________   </w:t>
      </w:r>
      <w:r>
        <w:rPr>
          <w:i/>
        </w:rPr>
        <w:t>k</w:t>
      </w:r>
      <w:r>
        <w:rPr/>
        <w:t xml:space="preserve"> (series) = ________   </w:t>
      </w:r>
      <w:r>
        <w:rPr>
          <w:i/>
        </w:rPr>
        <w:t>k</w:t>
      </w:r>
      <w:r>
        <w:rPr/>
        <w:t xml:space="preserve"> (parallel) = ________ N m</w:t>
      </w:r>
      <w:r>
        <w:rPr>
          <w:vertAlign w:val="superscript"/>
        </w:rPr>
        <w:t>−1</w:t>
      </w:r>
      <w:r>
        <w:rPr/>
        <w:t>. Which rule do your results support?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pStyle w:val="Heading1"/>
      </w:pPr>
      <w:r>
        <w:rPr/>
        <w:t>Part 3 — Homework</w:t>
      </w:r>
    </w:p>
    <w:p>
      <w:pPr>
        <w:keepNext/>
      </w:pPr>
      <w:r>
        <w:rPr>
          <w:b/>
        </w:rPr>
        <w:t>8.</w:t>
      </w:r>
      <w:r>
        <w:rPr/>
        <w:t xml:space="preserve"> Soft (12 N m</w:t>
      </w:r>
      <w:r>
        <w:rPr>
          <w:vertAlign w:val="superscript"/>
        </w:rPr>
        <w:t>−1</w:t>
      </w:r>
      <w:r>
        <w:rPr/>
        <w:t>) and stiff (40 N m</w:t>
      </w:r>
      <w:r>
        <w:rPr>
          <w:vertAlign w:val="superscript"/>
        </w:rPr>
        <w:t>−1</w:t>
      </w:r>
      <w:r>
        <w:rPr/>
        <w:t xml:space="preserve">) springs in </w:t>
      </w:r>
      <w:r>
        <w:rPr>
          <w:b/>
        </w:rPr>
        <w:t>series</w:t>
      </w:r>
      <w:r>
        <w:rPr/>
        <w:t xml:space="preserve">: calculate </w:t>
      </w:r>
      <w:r>
        <w:rPr>
          <w:i/>
        </w:rPr>
        <w:t>k</w:t>
      </w:r>
      <w:r>
        <w:rPr>
          <w:vertAlign w:val="subscript"/>
        </w:rPr>
        <w:t>eff</w:t>
      </w:r>
      <w:r>
        <w:rPr/>
        <w:t xml:space="preserve"> and the total extension with 200 g hanging.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551"/>
        </w:trPr>
        <w:tc>
          <w:tcPr>
            <w:tcW w:type="dxa" w:w="9638"/>
          </w:tcPr>
          <w:p>
            <w:r>
              <w:rPr>
                <w:color w:val="606060"/>
                <w:sz w:val="18"/>
              </w:rPr>
              <w:t>Working</w:t>
            </w:r>
          </w:p>
        </w:tc>
      </w:tr>
    </w:tbl>
    <w:p>
      <w:pPr>
        <w:spacing w:after="40"/>
      </w:pPr>
    </w:p>
    <w:p>
      <w:pPr>
        <w:keepNext/>
      </w:pPr>
      <w:r>
        <w:rPr>
          <w:b/>
        </w:rPr>
        <w:t>9.</w:t>
      </w:r>
      <w:r>
        <w:rPr/>
        <w:t xml:space="preserve"> The same springs in </w:t>
      </w:r>
      <w:r>
        <w:rPr>
          <w:b/>
        </w:rPr>
        <w:t>parallel</w:t>
      </w:r>
      <w:r>
        <w:rPr/>
        <w:t xml:space="preserve"> with 200 g: calculate </w:t>
      </w:r>
      <w:r>
        <w:rPr>
          <w:i/>
        </w:rPr>
        <w:t>k</w:t>
      </w:r>
      <w:r>
        <w:rPr>
          <w:vertAlign w:val="subscript"/>
        </w:rPr>
        <w:t>eff</w:t>
      </w:r>
      <w:r>
        <w:rPr/>
        <w:t>, the common extension and the force in each spring. Draw the free-body diagram of the load.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118"/>
        </w:trPr>
        <w:tc>
          <w:tcPr>
            <w:tcW w:type="dxa" w:w="9638"/>
          </w:tcPr>
          <w:p>
            <w:r>
              <w:rPr>
                <w:color w:val="606060"/>
                <w:sz w:val="18"/>
              </w:rPr>
              <w:t>Working</w:t>
            </w:r>
          </w:p>
        </w:tc>
      </w:tr>
    </w:tbl>
    <w:p>
      <w:pPr>
        <w:spacing w:after="40"/>
      </w:pPr>
    </w:p>
    <w:p>
      <w:pPr>
        <w:keepNext/>
      </w:pPr>
      <w:r>
        <w:rPr>
          <w:b/>
        </w:rPr>
        <w:t>10.</w:t>
      </w:r>
      <w:r>
        <w:rPr/>
        <w:t xml:space="preserve"> A 1200 kg car rests on 4 identical springs, each compressed by 3.0 cm. Calculate the spring constant of one spring and the effective spring constant of all four together.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551"/>
        </w:trPr>
        <w:tc>
          <w:tcPr>
            <w:tcW w:type="dxa" w:w="9638"/>
          </w:tcPr>
          <w:p>
            <w:r>
              <w:rPr>
                <w:color w:val="606060"/>
                <w:sz w:val="18"/>
              </w:rPr>
              <w:t>Working</w:t>
            </w:r>
          </w:p>
        </w:tc>
      </w:tr>
    </w:tbl>
    <w:p>
      <w:pPr>
        <w:spacing w:after="40"/>
      </w:pPr>
    </w:p>
    <w:p>
      <w:r>
        <w:rPr>
          <w:b/>
        </w:rPr>
        <w:t>11.</w:t>
      </w:r>
      <w:r>
        <w:rPr/>
        <w:t xml:space="preserve"> A rubber band's </w:t>
      </w:r>
      <w:r>
        <w:rPr>
          <w:i/>
        </w:rPr>
        <w:t>F</w:t>
      </w:r>
      <w:r>
        <w:rPr/>
        <w:t>–</w:t>
      </w:r>
      <w:r>
        <w:rPr>
          <w:i/>
        </w:rPr>
        <w:t>x</w:t>
      </w:r>
      <w:r>
        <w:rPr/>
        <w:t xml:space="preserve"> graph curves. Why can't you give it a single spring constant?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06060"/>
        <w:sz w:val="17"/>
      </w:rPr>
      <w:t>IBDP Physics SL · Grade 11 · Biljana Taneska</w:t>
      <w:tab/>
      <w:tab/>
      <w:t>Springs in series and parallel simulation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E651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