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val="0"/>
          <w:i w:val="0"/>
          <w:sz w:val="28"/>
        </w:rPr>
        <w:t>Advanced Big Data Analytics</w:t>
      </w:r>
    </w:p>
    <w:p>
      <w:pPr>
        <w:jc w:val="center"/>
      </w:pPr>
      <w:r>
        <w:rPr>
          <w:b/>
          <w:i w:val="0"/>
          <w:sz w:val="40"/>
        </w:rPr>
        <w:t>Project 2: Mobile Money Investigations with PostgreSQL and Neo4j</w:t>
      </w:r>
    </w:p>
    <w:p>
      <w:pPr>
        <w:jc w:val="center"/>
      </w:pPr>
      <w:r>
        <w:rPr>
          <w:b w:val="0"/>
          <w:i w:val="0"/>
          <w:sz w:val="24"/>
        </w:rPr>
        <w:t>Adventist University of Central Africa (AUCA), Kigali</w:t>
      </w:r>
    </w:p>
    <w:p/>
    <w:tbl>
      <w:tblPr>
        <w:tblStyle w:val="LightGrid-Accent1"/>
        <w:tblW w:type="auto" w:w="0"/>
        <w:jc w:val="center"/>
        <w:tblLook w:firstColumn="1" w:firstRow="1" w:lastColumn="0" w:lastRow="0" w:noHBand="0" w:noVBand="1" w:val="04A0"/>
      </w:tblPr>
      <w:tblGrid>
        <w:gridCol w:w="4819"/>
        <w:gridCol w:w="4819"/>
      </w:tblGrid>
      <w:tr>
        <w:tc>
          <w:tcPr>
            <w:tcW w:type="dxa" w:w="4535"/>
          </w:tcPr>
          <w:p>
            <w:r/>
            <w:r>
              <w:rPr>
                <w:b/>
                <w:sz w:val="22"/>
              </w:rPr>
              <w:t>Member</w:t>
            </w:r>
          </w:p>
        </w:tc>
        <w:tc>
          <w:tcPr>
            <w:tcW w:type="dxa" w:w="2268"/>
          </w:tcPr>
          <w:p>
            <w:r/>
            <w:r>
              <w:rPr>
                <w:b/>
                <w:sz w:val="22"/>
              </w:rPr>
              <w:t>Student ID</w:t>
            </w:r>
          </w:p>
        </w:tc>
      </w:tr>
      <w:tr>
        <w:tc>
          <w:tcPr>
            <w:tcW w:type="dxa" w:w="4535"/>
          </w:tcPr>
          <w:p>
            <w:r/>
            <w:r>
              <w:rPr>
                <w:sz w:val="22"/>
              </w:rPr>
              <w:t>BIZIMUNGU Theoneste</w:t>
            </w:r>
          </w:p>
        </w:tc>
        <w:tc>
          <w:tcPr>
            <w:tcW w:type="dxa" w:w="2268"/>
          </w:tcPr>
          <w:p>
            <w:r/>
            <w:r>
              <w:rPr>
                <w:sz w:val="22"/>
              </w:rPr>
              <w:t>101398</w:t>
            </w:r>
          </w:p>
        </w:tc>
      </w:tr>
      <w:tr>
        <w:tc>
          <w:tcPr>
            <w:tcW w:type="dxa" w:w="4535"/>
          </w:tcPr>
          <w:p>
            <w:r/>
            <w:r>
              <w:rPr>
                <w:sz w:val="22"/>
              </w:rPr>
              <w:t>NIYITANGA Eric</w:t>
            </w:r>
          </w:p>
        </w:tc>
        <w:tc>
          <w:tcPr>
            <w:tcW w:type="dxa" w:w="2268"/>
          </w:tcPr>
          <w:p>
            <w:r/>
            <w:r>
              <w:rPr>
                <w:sz w:val="22"/>
              </w:rPr>
              <w:t>101393</w:t>
            </w:r>
          </w:p>
        </w:tc>
      </w:tr>
      <w:tr>
        <w:tc>
          <w:tcPr>
            <w:tcW w:type="dxa" w:w="4535"/>
          </w:tcPr>
          <w:p>
            <w:r/>
            <w:r>
              <w:rPr>
                <w:sz w:val="22"/>
              </w:rPr>
              <w:t>NDASHIMYE Janvier</w:t>
            </w:r>
          </w:p>
        </w:tc>
        <w:tc>
          <w:tcPr>
            <w:tcW w:type="dxa" w:w="2268"/>
          </w:tcPr>
          <w:p>
            <w:r/>
            <w:r>
              <w:rPr>
                <w:sz w:val="22"/>
              </w:rPr>
              <w:t>101363</w:t>
            </w:r>
          </w:p>
        </w:tc>
      </w:tr>
    </w:tbl>
    <w:p/>
    <w:p>
      <w:pPr>
        <w:jc w:val="center"/>
      </w:pPr>
      <w:r>
        <w:rPr>
          <w:b w:val="0"/>
          <w:i w:val="0"/>
        </w:rPr>
        <w:t>Submitted 26 October 2026</w:t>
      </w:r>
    </w:p>
    <w:p>
      <w:pPr>
        <w:jc w:val="center"/>
      </w:pPr>
      <w:r>
        <w:rPr>
          <w:b w:val="0"/>
          <w:i w:val="0"/>
        </w:rPr>
        <w:t>Code and raw results: https://github.com/bibabbly/auca-abda-p2-mobile-money</w:t>
      </w:r>
    </w:p>
    <w:p>
      <w:r>
        <w:br w:type="page"/>
      </w:r>
    </w:p>
    <w:p>
      <w:pPr>
        <w:pStyle w:val="Heading1"/>
      </w:pPr>
      <w:r>
        <w:t>Summary</w:t>
      </w:r>
    </w:p>
    <w:p>
      <w:pPr>
        <w:pStyle w:val="ListBullet"/>
      </w:pPr>
      <w:r>
        <w:rPr>
          <w:b w:val="0"/>
        </w:rPr>
        <w:t>September 2026 data (20,993,500 records, 20,003,300 transfers) captured from the unchanged generator, loaded into PostgreSQL 18.4 and Neo4j 2026.10.1 Community; all counts and audit totals reconcile.</w:t>
      </w:r>
    </w:p>
    <w:p>
      <w:pPr>
        <w:pStyle w:val="ListBullet"/>
      </w:pPr>
      <w:r>
        <w:rPr>
          <w:b w:val="0"/>
        </w:rPr>
        <w:t xml:space="preserve">Q1–Q7 implemented as SQL/Cypher pairs; </w:t>
      </w:r>
      <w:r>
        <w:rPr>
          <w:b/>
        </w:rPr>
        <w:t>all 61 cases return identical answers</w:t>
      </w:r>
      <w:r>
        <w:rPr>
          <w:b w:val="0"/>
        </w:rPr>
        <w:t xml:space="preserve"> in both databases, confirmed again by two checks recomputed directly from the CSV files.</w:t>
      </w:r>
    </w:p>
    <w:p>
      <w:pPr>
        <w:pStyle w:val="ListBullet"/>
      </w:pPr>
      <w:r>
        <w:rPr>
          <w:b w:val="0"/>
        </w:rPr>
      </w:r>
      <w:r>
        <w:rPr>
          <w:b/>
        </w:rPr>
        <w:t>PostgreSQL</w:t>
      </w:r>
      <w:r>
        <w:rPr>
          <w:b w:val="0"/>
        </w:rPr>
        <w:t xml:space="preserve"> is faster for indexed lookups (Q1/Q3/Q5/Q6: 0.4–3 ms vs 5.5–8.4 ms). </w:t>
      </w:r>
      <w:r>
        <w:rPr>
          <w:b/>
        </w:rPr>
        <w:t>Neo4j</w:t>
      </w:r>
      <w:r>
        <w:rPr>
          <w:b w:val="0"/>
        </w:rPr>
        <w:t xml:space="preserve"> is faster for deep traversals (Q4 depth 10: 4–6 ms vs 23 ms; Q7: 8–14 ms).</w:t>
      </w:r>
    </w:p>
    <w:p>
      <w:pPr>
        <w:pStyle w:val="ListBullet"/>
      </w:pPr>
      <w:r>
        <w:rPr>
          <w:b w:val="0"/>
        </w:rPr>
        <w:t xml:space="preserve">Plain recursive SQL for Q7 bound 6 timed out (&gt;60 s); a </w:t>
      </w:r>
      <w:r>
        <w:rPr>
          <w:b/>
        </w:rPr>
        <w:t>bidirectional SQL rewrite</w:t>
      </w:r>
      <w:r>
        <w:rPr>
          <w:b w:val="0"/>
        </w:rPr>
        <w:t xml:space="preserve"> gives the same answers in ≈80 ms, so most of that gap was the algorithm, not the model.</w:t>
      </w:r>
    </w:p>
    <w:p>
      <w:pPr>
        <w:pStyle w:val="ListBullet"/>
      </w:pPr>
      <w:r>
        <w:rPr>
          <w:b w:val="0"/>
        </w:rPr>
        <w:t>Under concurrent load both engines saturate the 8 CPU threads at 8 clients; Neo4j delivered 12–32× higher throughput for Q4/Q7 on this machine.</w:t>
      </w:r>
    </w:p>
    <w:p>
      <w:pPr>
        <w:pStyle w:val="ListBullet"/>
      </w:pPr>
      <w:r>
        <w:rPr>
          <w:b w:val="0"/>
        </w:rPr>
        <w:t xml:space="preserve">Investigate </w:t>
      </w:r>
      <w:r>
        <w:rPr>
          <w:b/>
        </w:rPr>
        <w:t>A (998), B (147228) and C (206978)</w:t>
      </w:r>
      <w:r>
        <w:rPr>
          <w:b w:val="0"/>
        </w:rPr>
        <w:t xml:space="preserve"> before D, E, F: same device and network profile, but only A–C show rapid onward chains and/or circular payments.</w:t>
      </w:r>
    </w:p>
    <w:p>
      <w:r>
        <w:br w:type="page"/>
      </w:r>
    </w:p>
    <w:p>
      <w:pPr>
        <w:pStyle w:val="Heading1"/>
      </w:pPr>
      <w:r>
        <w:t>1 Capture the data</w:t>
      </w:r>
    </w:p>
    <w:p>
      <w:pPr>
        <w:pStyle w:val="Heading2"/>
      </w:pPr>
      <w:r>
        <w:t>1.1 Workspace</w:t>
      </w:r>
    </w:p>
    <w:tbl>
      <w:tblPr>
        <w:tblStyle w:val="LightGrid-Accent1"/>
        <w:tblW w:type="auto" w:w="0"/>
        <w:jc w:val="center"/>
        <w:tblLook w:firstColumn="1" w:firstRow="1" w:lastColumn="0" w:lastRow="0" w:noHBand="0" w:noVBand="1" w:val="04A0"/>
      </w:tblPr>
      <w:tblGrid>
        <w:gridCol w:w="4819"/>
        <w:gridCol w:w="4819"/>
      </w:tblGrid>
      <w:tr>
        <w:tc>
          <w:tcPr>
            <w:tcW w:type="dxa" w:w="2268"/>
          </w:tcPr>
          <w:p>
            <w:r/>
            <w:r>
              <w:rPr>
                <w:b/>
                <w:sz w:val="18"/>
              </w:rPr>
              <w:t>Item</w:t>
            </w:r>
          </w:p>
        </w:tc>
        <w:tc>
          <w:tcPr>
            <w:tcW w:type="dxa" w:w="7370"/>
          </w:tcPr>
          <w:p>
            <w:r/>
            <w:r>
              <w:rPr>
                <w:b/>
                <w:sz w:val="18"/>
              </w:rPr>
              <w:t>Value</w:t>
            </w:r>
          </w:p>
        </w:tc>
      </w:tr>
      <w:tr>
        <w:tc>
          <w:tcPr>
            <w:tcW w:type="dxa" w:w="2268"/>
          </w:tcPr>
          <w:p>
            <w:r/>
            <w:r>
              <w:rPr>
                <w:sz w:val="18"/>
              </w:rPr>
              <w:t>CPU / RAM / OS</w:t>
            </w:r>
          </w:p>
        </w:tc>
        <w:tc>
          <w:tcPr>
            <w:tcW w:type="dxa" w:w="7370"/>
          </w:tcPr>
          <w:p>
            <w:r/>
            <w:r>
              <w:rPr>
                <w:sz w:val="18"/>
              </w:rPr>
              <w:t>Intel Core i7-1165G7 (4 cores, 8 threads) / 34.1 GB / Windows 11 Pro 10.0.22631</w:t>
            </w:r>
          </w:p>
        </w:tc>
      </w:tr>
      <w:tr>
        <w:tc>
          <w:tcPr>
            <w:tcW w:type="dxa" w:w="2268"/>
          </w:tcPr>
          <w:p>
            <w:r/>
            <w:r>
              <w:rPr>
                <w:sz w:val="18"/>
              </w:rPr>
              <w:t>PostgreSQL</w:t>
            </w:r>
          </w:p>
        </w:tc>
        <w:tc>
          <w:tcPr>
            <w:tcW w:type="dxa" w:w="7370"/>
          </w:tcPr>
          <w:p>
            <w:r/>
            <w:r>
              <w:rPr>
                <w:sz w:val="18"/>
              </w:rPr>
              <w:t>18.4, database mobile_money, TimeZone Africa/Kigali; shared_buffers 8 GB, effective_cache_size 18 GB, work_mem 64 MB, maintenance_work_mem 2 GB, max_wal_size 8 GB</w:t>
            </w:r>
          </w:p>
        </w:tc>
      </w:tr>
      <w:tr>
        <w:tc>
          <w:tcPr>
            <w:tcW w:type="dxa" w:w="2268"/>
          </w:tcPr>
          <w:p>
            <w:r/>
            <w:r>
              <w:rPr>
                <w:sz w:val="18"/>
              </w:rPr>
              <w:t>Neo4j</w:t>
            </w:r>
          </w:p>
        </w:tc>
        <w:tc>
          <w:tcPr>
            <w:tcW w:type="dxa" w:w="7370"/>
          </w:tcPr>
          <w:p>
            <w:r/>
            <w:r>
              <w:rPr>
                <w:sz w:val="18"/>
              </w:rPr>
              <w:t>2026.10.1 Community, default neo4j database; heap 8 GB, page cache 10 GB, transaction memory 6 GB; Java 21.0.11</w:t>
            </w:r>
          </w:p>
        </w:tc>
      </w:tr>
      <w:tr>
        <w:tc>
          <w:tcPr>
            <w:tcW w:type="dxa" w:w="2268"/>
          </w:tcPr>
          <w:p>
            <w:r/>
            <w:r>
              <w:rPr>
                <w:sz w:val="18"/>
              </w:rPr>
              <w:t>Python / drivers</w:t>
            </w:r>
          </w:p>
        </w:tc>
        <w:tc>
          <w:tcPr>
            <w:tcW w:type="dxa" w:w="7370"/>
          </w:tcPr>
          <w:p>
            <w:r/>
            <w:r>
              <w:rPr>
                <w:sz w:val="18"/>
              </w:rPr>
              <w:t>Python 3.13.6; psycopg 3.3.6 (libpq 18.0.4); neo4j 6.4.1; numpy 2.5.4; pandas 3.1.0; matplotlib 3.11.2</w:t>
            </w:r>
          </w:p>
        </w:tc>
      </w:tr>
      <w:tr>
        <w:tc>
          <w:tcPr>
            <w:tcW w:type="dxa" w:w="2268"/>
          </w:tcPr>
          <w:p>
            <w:r/>
            <w:r>
              <w:rPr>
                <w:sz w:val="18"/>
              </w:rPr>
              <w:t>Generator</w:t>
            </w:r>
          </w:p>
        </w:tc>
        <w:tc>
          <w:tcPr>
            <w:tcW w:type="dxa" w:w="7370"/>
          </w:tcPr>
          <w:p>
            <w:r/>
            <w:r>
              <w:rPr>
                <w:sz w:val="18"/>
              </w:rPr>
              <w:t>mobile_money_generator.py unchanged, SHA-256 2ea0e59d…9455a</w:t>
            </w:r>
          </w:p>
        </w:tc>
      </w:tr>
    </w:tbl>
    <w:p/>
    <w:p>
      <w:pPr>
        <w:jc w:val="center"/>
      </w:pPr>
      <w:r>
        <w:drawing>
          <wp:inline xmlns:a="http://schemas.openxmlformats.org/drawingml/2006/main" xmlns:pic="http://schemas.openxmlformats.org/drawingml/2006/picture">
            <wp:extent cx="6120000" cy="4561253"/>
            <wp:docPr id="1" name="Picture 1"/>
            <wp:cNvGraphicFramePr>
              <a:graphicFrameLocks noChangeAspect="1"/>
            </wp:cNvGraphicFramePr>
            <a:graphic>
              <a:graphicData uri="http://schemas.openxmlformats.org/drawingml/2006/picture">
                <pic:pic>
                  <pic:nvPicPr>
                    <pic:cNvPr id="0" name="1.1_postgres.png"/>
                    <pic:cNvPicPr/>
                  </pic:nvPicPr>
                  <pic:blipFill>
                    <a:blip r:embed="rId10"/>
                    <a:stretch>
                      <a:fillRect/>
                    </a:stretch>
                  </pic:blipFill>
                  <pic:spPr>
                    <a:xfrm>
                      <a:off x="0" y="0"/>
                      <a:ext cx="6120000" cy="4561253"/>
                    </a:xfrm>
                    <a:prstGeom prst="rect"/>
                  </pic:spPr>
                </pic:pic>
              </a:graphicData>
            </a:graphic>
          </wp:inline>
        </w:drawing>
      </w:r>
    </w:p>
    <w:p>
      <w:pPr>
        <w:jc w:val="center"/>
      </w:pPr>
      <w:r>
        <w:rPr>
          <w:b w:val="0"/>
          <w:i/>
          <w:sz w:val="18"/>
        </w:rPr>
        <w:t>Figure 1. PostgreSQL database created with time zone Africa/Kigali.</w:t>
      </w:r>
    </w:p>
    <w:p>
      <w:pPr>
        <w:jc w:val="center"/>
      </w:pPr>
      <w:r>
        <w:drawing>
          <wp:inline xmlns:a="http://schemas.openxmlformats.org/drawingml/2006/main" xmlns:pic="http://schemas.openxmlformats.org/drawingml/2006/picture">
            <wp:extent cx="6120000" cy="3431297"/>
            <wp:docPr id="2" name="Picture 2"/>
            <wp:cNvGraphicFramePr>
              <a:graphicFrameLocks noChangeAspect="1"/>
            </wp:cNvGraphicFramePr>
            <a:graphic>
              <a:graphicData uri="http://schemas.openxmlformats.org/drawingml/2006/picture">
                <pic:pic>
                  <pic:nvPicPr>
                    <pic:cNvPr id="0" name="1.1_environment_0.png"/>
                    <pic:cNvPicPr/>
                  </pic:nvPicPr>
                  <pic:blipFill>
                    <a:blip r:embed="rId11"/>
                    <a:stretch>
                      <a:fillRect/>
                    </a:stretch>
                  </pic:blipFill>
                  <pic:spPr>
                    <a:xfrm>
                      <a:off x="0" y="0"/>
                      <a:ext cx="6120000" cy="3431297"/>
                    </a:xfrm>
                    <a:prstGeom prst="rect"/>
                  </pic:spPr>
                </pic:pic>
              </a:graphicData>
            </a:graphic>
          </wp:inline>
        </w:drawing>
      </w:r>
    </w:p>
    <w:p>
      <w:pPr>
        <w:jc w:val="center"/>
      </w:pPr>
      <w:r>
        <w:rPr>
          <w:b w:val="0"/>
          <w:i/>
          <w:sz w:val="18"/>
        </w:rPr>
        <w:t>Figure 2. env_check.py: machine, drivers, PostgreSQL settings.</w:t>
      </w:r>
    </w:p>
    <w:p>
      <w:pPr>
        <w:jc w:val="center"/>
      </w:pPr>
      <w:r>
        <w:drawing>
          <wp:inline xmlns:a="http://schemas.openxmlformats.org/drawingml/2006/main" xmlns:pic="http://schemas.openxmlformats.org/drawingml/2006/picture">
            <wp:extent cx="6120000" cy="3433326"/>
            <wp:docPr id="3" name="Picture 3"/>
            <wp:cNvGraphicFramePr>
              <a:graphicFrameLocks noChangeAspect="1"/>
            </wp:cNvGraphicFramePr>
            <a:graphic>
              <a:graphicData uri="http://schemas.openxmlformats.org/drawingml/2006/picture">
                <pic:pic>
                  <pic:nvPicPr>
                    <pic:cNvPr id="0" name="1.1_environment_1.png"/>
                    <pic:cNvPicPr/>
                  </pic:nvPicPr>
                  <pic:blipFill>
                    <a:blip r:embed="rId12"/>
                    <a:stretch>
                      <a:fillRect/>
                    </a:stretch>
                  </pic:blipFill>
                  <pic:spPr>
                    <a:xfrm>
                      <a:off x="0" y="0"/>
                      <a:ext cx="6120000" cy="3433326"/>
                    </a:xfrm>
                    <a:prstGeom prst="rect"/>
                  </pic:spPr>
                </pic:pic>
              </a:graphicData>
            </a:graphic>
          </wp:inline>
        </w:drawing>
      </w:r>
    </w:p>
    <w:p>
      <w:pPr>
        <w:jc w:val="center"/>
      </w:pPr>
      <w:r>
        <w:rPr>
          <w:b w:val="0"/>
          <w:i/>
          <w:sz w:val="18"/>
        </w:rPr>
        <w:t>Figure 3. env_check.py: Neo4j version and memory settings; both connections succeed.</w:t>
      </w:r>
    </w:p>
    <w:p>
      <w:pPr>
        <w:pStyle w:val="Heading2"/>
      </w:pPr>
      <w:r>
        <w:t>1.2 capture.py</w:t>
      </w:r>
    </w:p>
    <w:p>
      <w:r>
        <w:rPr>
          <w:b w:val="0"/>
          <w:i w:val="0"/>
        </w:rPr>
        <w:t>capture.py imports the generator as g, previews ten records per stream with itertools.islice, and streams each iterator straight into csv.DictWriter, counting consumed and written rows. The full stream is never held in memory. Transfer audit totals are accumulated while writing.</w:t>
      </w:r>
    </w:p>
    <w:tbl>
      <w:tblPr>
        <w:tblStyle w:val="LightGrid-Accent1"/>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
              <w:rPr>
                <w:b/>
                <w:sz w:val="18"/>
              </w:rPr>
              <w:t>Stream</w:t>
            </w:r>
          </w:p>
        </w:tc>
        <w:tc>
          <w:tcPr>
            <w:tcW w:type="dxa" w:w="1606"/>
          </w:tcPr>
          <w:p>
            <w:r/>
            <w:r>
              <w:rPr>
                <w:b/>
                <w:sz w:val="18"/>
              </w:rPr>
              <w:t>Written</w:t>
            </w:r>
          </w:p>
        </w:tc>
        <w:tc>
          <w:tcPr>
            <w:tcW w:type="dxa" w:w="1606"/>
          </w:tcPr>
          <w:p>
            <w:r/>
            <w:r>
              <w:rPr>
                <w:b/>
                <w:sz w:val="18"/>
              </w:rPr>
              <w:t>Expected</w:t>
            </w:r>
          </w:p>
        </w:tc>
        <w:tc>
          <w:tcPr>
            <w:tcW w:type="dxa" w:w="1606"/>
          </w:tcPr>
          <w:p>
            <w:r/>
            <w:r>
              <w:rPr>
                <w:b/>
                <w:sz w:val="18"/>
              </w:rPr>
              <w:t>Status</w:t>
            </w:r>
          </w:p>
        </w:tc>
        <w:tc>
          <w:tcPr>
            <w:tcW w:type="dxa" w:w="1606"/>
          </w:tcPr>
          <w:p>
            <w:r/>
            <w:r>
              <w:rPr>
                <w:b/>
                <w:sz w:val="18"/>
              </w:rPr>
              <w:t>Seconds</w:t>
            </w:r>
          </w:p>
        </w:tc>
        <w:tc>
          <w:tcPr>
            <w:tcW w:type="dxa" w:w="1606"/>
          </w:tcPr>
          <w:p>
            <w:r/>
            <w:r>
              <w:rPr>
                <w:b/>
                <w:sz w:val="18"/>
              </w:rPr>
              <w:t>CSV GB</w:t>
            </w:r>
          </w:p>
        </w:tc>
      </w:tr>
      <w:tr>
        <w:tc>
          <w:tcPr>
            <w:tcW w:type="dxa" w:w="1606"/>
          </w:tcPr>
          <w:p>
            <w:r/>
            <w:r>
              <w:rPr>
                <w:sz w:val="18"/>
              </w:rPr>
              <w:t>customers</w:t>
            </w:r>
          </w:p>
        </w:tc>
        <w:tc>
          <w:tcPr>
            <w:tcW w:type="dxa" w:w="1606"/>
          </w:tcPr>
          <w:p>
            <w:r/>
            <w:r>
              <w:rPr>
                <w:sz w:val="18"/>
              </w:rPr>
              <w:t>228,000</w:t>
            </w:r>
          </w:p>
        </w:tc>
        <w:tc>
          <w:tcPr>
            <w:tcW w:type="dxa" w:w="1606"/>
          </w:tcPr>
          <w:p>
            <w:r/>
            <w:r>
              <w:rPr>
                <w:sz w:val="18"/>
              </w:rPr>
              <w:t>228,000</w:t>
            </w:r>
          </w:p>
        </w:tc>
        <w:tc>
          <w:tcPr>
            <w:tcW w:type="dxa" w:w="1606"/>
          </w:tcPr>
          <w:p>
            <w:r/>
            <w:r>
              <w:rPr>
                <w:sz w:val="18"/>
              </w:rPr>
              <w:t>OK</w:t>
            </w:r>
          </w:p>
        </w:tc>
        <w:tc>
          <w:tcPr>
            <w:tcW w:type="dxa" w:w="1606"/>
          </w:tcPr>
          <w:p>
            <w:r/>
            <w:r>
              <w:rPr>
                <w:sz w:val="18"/>
              </w:rPr>
              <w:t>0.5</w:t>
            </w:r>
          </w:p>
        </w:tc>
        <w:tc>
          <w:tcPr>
            <w:tcW w:type="dxa" w:w="1606"/>
          </w:tcPr>
          <w:p>
            <w:r/>
            <w:r>
              <w:rPr>
                <w:sz w:val="18"/>
              </w:rPr>
              <w:t>0.004</w:t>
            </w:r>
          </w:p>
        </w:tc>
      </w:tr>
      <w:tr>
        <w:tc>
          <w:tcPr>
            <w:tcW w:type="dxa" w:w="1606"/>
          </w:tcPr>
          <w:p>
            <w:r/>
            <w:r>
              <w:rPr>
                <w:sz w:val="18"/>
              </w:rPr>
              <w:t>accounts</w:t>
            </w:r>
          </w:p>
        </w:tc>
        <w:tc>
          <w:tcPr>
            <w:tcW w:type="dxa" w:w="1606"/>
          </w:tcPr>
          <w:p>
            <w:r/>
            <w:r>
              <w:rPr>
                <w:sz w:val="18"/>
              </w:rPr>
              <w:t>248,000</w:t>
            </w:r>
          </w:p>
        </w:tc>
        <w:tc>
          <w:tcPr>
            <w:tcW w:type="dxa" w:w="1606"/>
          </w:tcPr>
          <w:p>
            <w:r/>
            <w:r>
              <w:rPr>
                <w:sz w:val="18"/>
              </w:rPr>
              <w:t>248,000</w:t>
            </w:r>
          </w:p>
        </w:tc>
        <w:tc>
          <w:tcPr>
            <w:tcW w:type="dxa" w:w="1606"/>
          </w:tcPr>
          <w:p>
            <w:r/>
            <w:r>
              <w:rPr>
                <w:sz w:val="18"/>
              </w:rPr>
              <w:t>OK</w:t>
            </w:r>
          </w:p>
        </w:tc>
        <w:tc>
          <w:tcPr>
            <w:tcW w:type="dxa" w:w="1606"/>
          </w:tcPr>
          <w:p>
            <w:r/>
            <w:r>
              <w:rPr>
                <w:sz w:val="18"/>
              </w:rPr>
              <w:t>0.5</w:t>
            </w:r>
          </w:p>
        </w:tc>
        <w:tc>
          <w:tcPr>
            <w:tcW w:type="dxa" w:w="1606"/>
          </w:tcPr>
          <w:p>
            <w:r/>
            <w:r>
              <w:rPr>
                <w:sz w:val="18"/>
              </w:rPr>
              <w:t>0.005</w:t>
            </w:r>
          </w:p>
        </w:tc>
      </w:tr>
      <w:tr>
        <w:tc>
          <w:tcPr>
            <w:tcW w:type="dxa" w:w="1606"/>
          </w:tcPr>
          <w:p>
            <w:r/>
            <w:r>
              <w:rPr>
                <w:sz w:val="18"/>
              </w:rPr>
              <w:t>devices</w:t>
            </w:r>
          </w:p>
        </w:tc>
        <w:tc>
          <w:tcPr>
            <w:tcW w:type="dxa" w:w="1606"/>
          </w:tcPr>
          <w:p>
            <w:r/>
            <w:r>
              <w:rPr>
                <w:sz w:val="18"/>
              </w:rPr>
              <w:t>228,600</w:t>
            </w:r>
          </w:p>
        </w:tc>
        <w:tc>
          <w:tcPr>
            <w:tcW w:type="dxa" w:w="1606"/>
          </w:tcPr>
          <w:p>
            <w:r/>
            <w:r>
              <w:rPr>
                <w:sz w:val="18"/>
              </w:rPr>
              <w:t>228,600</w:t>
            </w:r>
          </w:p>
        </w:tc>
        <w:tc>
          <w:tcPr>
            <w:tcW w:type="dxa" w:w="1606"/>
          </w:tcPr>
          <w:p>
            <w:r/>
            <w:r>
              <w:rPr>
                <w:sz w:val="18"/>
              </w:rPr>
              <w:t>OK</w:t>
            </w:r>
          </w:p>
        </w:tc>
        <w:tc>
          <w:tcPr>
            <w:tcW w:type="dxa" w:w="1606"/>
          </w:tcPr>
          <w:p>
            <w:r/>
            <w:r>
              <w:rPr>
                <w:sz w:val="18"/>
              </w:rPr>
              <w:t>0.3</w:t>
            </w:r>
          </w:p>
        </w:tc>
        <w:tc>
          <w:tcPr>
            <w:tcW w:type="dxa" w:w="1606"/>
          </w:tcPr>
          <w:p>
            <w:r/>
            <w:r>
              <w:rPr>
                <w:sz w:val="18"/>
              </w:rPr>
              <w:t>0.004</w:t>
            </w:r>
          </w:p>
        </w:tc>
      </w:tr>
      <w:tr>
        <w:tc>
          <w:tcPr>
            <w:tcW w:type="dxa" w:w="1606"/>
          </w:tcPr>
          <w:p>
            <w:r/>
            <w:r>
              <w:rPr>
                <w:sz w:val="18"/>
              </w:rPr>
              <w:t>account_devices</w:t>
            </w:r>
          </w:p>
        </w:tc>
        <w:tc>
          <w:tcPr>
            <w:tcW w:type="dxa" w:w="1606"/>
          </w:tcPr>
          <w:p>
            <w:r/>
            <w:r>
              <w:rPr>
                <w:sz w:val="18"/>
              </w:rPr>
              <w:t>285,600</w:t>
            </w:r>
          </w:p>
        </w:tc>
        <w:tc>
          <w:tcPr>
            <w:tcW w:type="dxa" w:w="1606"/>
          </w:tcPr>
          <w:p>
            <w:r/>
            <w:r>
              <w:rPr>
                <w:sz w:val="18"/>
              </w:rPr>
              <w:t>285,600</w:t>
            </w:r>
          </w:p>
        </w:tc>
        <w:tc>
          <w:tcPr>
            <w:tcW w:type="dxa" w:w="1606"/>
          </w:tcPr>
          <w:p>
            <w:r/>
            <w:r>
              <w:rPr>
                <w:sz w:val="18"/>
              </w:rPr>
              <w:t>OK</w:t>
            </w:r>
          </w:p>
        </w:tc>
        <w:tc>
          <w:tcPr>
            <w:tcW w:type="dxa" w:w="1606"/>
          </w:tcPr>
          <w:p>
            <w:r/>
            <w:r>
              <w:rPr>
                <w:sz w:val="18"/>
              </w:rPr>
              <w:t>0.7</w:t>
            </w:r>
          </w:p>
        </w:tc>
        <w:tc>
          <w:tcPr>
            <w:tcW w:type="dxa" w:w="1606"/>
          </w:tcPr>
          <w:p>
            <w:r/>
            <w:r>
              <w:rPr>
                <w:sz w:val="18"/>
              </w:rPr>
              <w:t>0.006</w:t>
            </w:r>
          </w:p>
        </w:tc>
      </w:tr>
      <w:tr>
        <w:tc>
          <w:tcPr>
            <w:tcW w:type="dxa" w:w="1606"/>
          </w:tcPr>
          <w:p>
            <w:r/>
            <w:r>
              <w:rPr>
                <w:sz w:val="18"/>
              </w:rPr>
              <w:t>transfers</w:t>
            </w:r>
          </w:p>
        </w:tc>
        <w:tc>
          <w:tcPr>
            <w:tcW w:type="dxa" w:w="1606"/>
          </w:tcPr>
          <w:p>
            <w:r/>
            <w:r>
              <w:rPr>
                <w:sz w:val="18"/>
              </w:rPr>
              <w:t>20,003,300</w:t>
            </w:r>
          </w:p>
        </w:tc>
        <w:tc>
          <w:tcPr>
            <w:tcW w:type="dxa" w:w="1606"/>
          </w:tcPr>
          <w:p>
            <w:r/>
            <w:r>
              <w:rPr>
                <w:sz w:val="18"/>
              </w:rPr>
              <w:t>20,003,300</w:t>
            </w:r>
          </w:p>
        </w:tc>
        <w:tc>
          <w:tcPr>
            <w:tcW w:type="dxa" w:w="1606"/>
          </w:tcPr>
          <w:p>
            <w:r/>
            <w:r>
              <w:rPr>
                <w:sz w:val="18"/>
              </w:rPr>
              <w:t>OK</w:t>
            </w:r>
          </w:p>
        </w:tc>
        <w:tc>
          <w:tcPr>
            <w:tcW w:type="dxa" w:w="1606"/>
          </w:tcPr>
          <w:p>
            <w:r/>
            <w:r>
              <w:rPr>
                <w:sz w:val="18"/>
              </w:rPr>
              <w:t>81.7</w:t>
            </w:r>
          </w:p>
        </w:tc>
        <w:tc>
          <w:tcPr>
            <w:tcW w:type="dxa" w:w="1606"/>
          </w:tcPr>
          <w:p>
            <w:r/>
            <w:r>
              <w:rPr>
                <w:sz w:val="18"/>
              </w:rPr>
              <w:t>0.780</w:t>
            </w:r>
          </w:p>
        </w:tc>
      </w:tr>
      <w:tr>
        <w:tc>
          <w:tcPr>
            <w:tcW w:type="dxa" w:w="1606"/>
          </w:tcPr>
          <w:p>
            <w:r/>
            <w:r>
              <w:rPr>
                <w:sz w:val="18"/>
              </w:rPr>
              <w:t>TOTAL</w:t>
            </w:r>
          </w:p>
        </w:tc>
        <w:tc>
          <w:tcPr>
            <w:tcW w:type="dxa" w:w="1606"/>
          </w:tcPr>
          <w:p>
            <w:r/>
            <w:r>
              <w:rPr>
                <w:sz w:val="18"/>
              </w:rPr>
              <w:t>20,993,500</w:t>
            </w:r>
          </w:p>
        </w:tc>
        <w:tc>
          <w:tcPr>
            <w:tcW w:type="dxa" w:w="1606"/>
          </w:tcPr>
          <w:p>
            <w:r/>
            <w:r>
              <w:rPr>
                <w:sz w:val="18"/>
              </w:rPr>
              <w:t>20,993,500</w:t>
            </w:r>
          </w:p>
        </w:tc>
        <w:tc>
          <w:tcPr>
            <w:tcW w:type="dxa" w:w="1606"/>
          </w:tcPr>
          <w:p>
            <w:r/>
            <w:r>
              <w:rPr>
                <w:sz w:val="18"/>
              </w:rPr>
              <w:t>OK</w:t>
            </w:r>
          </w:p>
        </w:tc>
        <w:tc>
          <w:tcPr>
            <w:tcW w:type="dxa" w:w="1606"/>
          </w:tcPr>
          <w:p>
            <w:r/>
            <w:r>
              <w:rPr>
                <w:sz w:val="18"/>
              </w:rPr>
              <w:t>83.8</w:t>
            </w:r>
          </w:p>
        </w:tc>
        <w:tc>
          <w:tcPr>
            <w:tcW w:type="dxa" w:w="1606"/>
          </w:tcPr>
          <w:p>
            <w:r/>
            <w:r>
              <w:rPr>
                <w:sz w:val="18"/>
              </w:rPr>
              <w:t>0.799</w:t>
            </w:r>
          </w:p>
        </w:tc>
      </w:tr>
    </w:tbl>
    <w:p/>
    <w:p>
      <w:r>
        <w:rPr>
          <w:b w:val="0"/>
          <w:i w:val="0"/>
        </w:rPr>
        <w:t>Transfer audit: count 20,003,300; earliest 1788235200 (2026-09-01T06:00:00 CAT); latest 1790798399 (2026-09-30T21:59:59 CAT); sum amount_rwf 231,482,327,870 RWF.</w:t>
      </w:r>
    </w:p>
    <w:p>
      <w:pPr>
        <w:jc w:val="center"/>
      </w:pPr>
      <w:r>
        <w:drawing>
          <wp:inline xmlns:a="http://schemas.openxmlformats.org/drawingml/2006/main" xmlns:pic="http://schemas.openxmlformats.org/drawingml/2006/picture">
            <wp:extent cx="6120000" cy="3445310"/>
            <wp:docPr id="4" name="Picture 4"/>
            <wp:cNvGraphicFramePr>
              <a:graphicFrameLocks noChangeAspect="1"/>
            </wp:cNvGraphicFramePr>
            <a:graphic>
              <a:graphicData uri="http://schemas.openxmlformats.org/drawingml/2006/picture">
                <pic:pic>
                  <pic:nvPicPr>
                    <pic:cNvPr id="0" name="1.2_preview_0.png"/>
                    <pic:cNvPicPr/>
                  </pic:nvPicPr>
                  <pic:blipFill>
                    <a:blip r:embed="rId13"/>
                    <a:stretch>
                      <a:fillRect/>
                    </a:stretch>
                  </pic:blipFill>
                  <pic:spPr>
                    <a:xfrm>
                      <a:off x="0" y="0"/>
                      <a:ext cx="6120000" cy="3445310"/>
                    </a:xfrm>
                    <a:prstGeom prst="rect"/>
                  </pic:spPr>
                </pic:pic>
              </a:graphicData>
            </a:graphic>
          </wp:inline>
        </w:drawing>
      </w:r>
    </w:p>
    <w:p>
      <w:pPr>
        <w:jc w:val="center"/>
      </w:pPr>
      <w:r>
        <w:rPr>
          <w:b w:val="0"/>
          <w:i/>
          <w:sz w:val="18"/>
        </w:rPr>
        <w:t>Figure 4. Preview: dataset_info() and FIELDS.</w:t>
      </w:r>
    </w:p>
    <w:p>
      <w:pPr>
        <w:jc w:val="center"/>
      </w:pPr>
      <w:r>
        <w:drawing>
          <wp:inline xmlns:a="http://schemas.openxmlformats.org/drawingml/2006/main" xmlns:pic="http://schemas.openxmlformats.org/drawingml/2006/picture">
            <wp:extent cx="6120000" cy="3417372"/>
            <wp:docPr id="5" name="Picture 5"/>
            <wp:cNvGraphicFramePr>
              <a:graphicFrameLocks noChangeAspect="1"/>
            </wp:cNvGraphicFramePr>
            <a:graphic>
              <a:graphicData uri="http://schemas.openxmlformats.org/drawingml/2006/picture">
                <pic:pic>
                  <pic:nvPicPr>
                    <pic:cNvPr id="0" name="1.2_preview_1.png"/>
                    <pic:cNvPicPr/>
                  </pic:nvPicPr>
                  <pic:blipFill>
                    <a:blip r:embed="rId14"/>
                    <a:stretch>
                      <a:fillRect/>
                    </a:stretch>
                  </pic:blipFill>
                  <pic:spPr>
                    <a:xfrm>
                      <a:off x="0" y="0"/>
                      <a:ext cx="6120000" cy="3417372"/>
                    </a:xfrm>
                    <a:prstGeom prst="rect"/>
                  </pic:spPr>
                </pic:pic>
              </a:graphicData>
            </a:graphic>
          </wp:inline>
        </w:drawing>
      </w:r>
    </w:p>
    <w:p>
      <w:pPr>
        <w:jc w:val="center"/>
      </w:pPr>
      <w:r>
        <w:rPr>
          <w:b w:val="0"/>
          <w:i/>
          <w:sz w:val="18"/>
        </w:rPr>
        <w:t>Figure 5. Preview: first ten records of each stream.</w:t>
      </w:r>
    </w:p>
    <w:p>
      <w:pPr>
        <w:jc w:val="center"/>
      </w:pPr>
      <w:r>
        <w:drawing>
          <wp:inline xmlns:a="http://schemas.openxmlformats.org/drawingml/2006/main" xmlns:pic="http://schemas.openxmlformats.org/drawingml/2006/picture">
            <wp:extent cx="6120000" cy="3441502"/>
            <wp:docPr id="6" name="Picture 6"/>
            <wp:cNvGraphicFramePr>
              <a:graphicFrameLocks noChangeAspect="1"/>
            </wp:cNvGraphicFramePr>
            <a:graphic>
              <a:graphicData uri="http://schemas.openxmlformats.org/drawingml/2006/picture">
                <pic:pic>
                  <pic:nvPicPr>
                    <pic:cNvPr id="0" name="1.2_capture_totals.png"/>
                    <pic:cNvPicPr/>
                  </pic:nvPicPr>
                  <pic:blipFill>
                    <a:blip r:embed="rId15"/>
                    <a:stretch>
                      <a:fillRect/>
                    </a:stretch>
                  </pic:blipFill>
                  <pic:spPr>
                    <a:xfrm>
                      <a:off x="0" y="0"/>
                      <a:ext cx="6120000" cy="3441502"/>
                    </a:xfrm>
                    <a:prstGeom prst="rect"/>
                  </pic:spPr>
                </pic:pic>
              </a:graphicData>
            </a:graphic>
          </wp:inline>
        </w:drawing>
      </w:r>
    </w:p>
    <w:p>
      <w:pPr>
        <w:jc w:val="center"/>
      </w:pPr>
      <w:r>
        <w:rPr>
          <w:b w:val="0"/>
          <w:i/>
          <w:sz w:val="18"/>
        </w:rPr>
        <w:t>Figure 6. Completed five-stream capture with counts, timings, CSV sizes and audit totals.</w:t>
      </w:r>
    </w:p>
    <w:p>
      <w:r>
        <w:br w:type="page"/>
      </w:r>
    </w:p>
    <w:p>
      <w:pPr>
        <w:pStyle w:val="Heading1"/>
      </w:pPr>
      <w:r>
        <w:t>2 Build PostgreSQL</w:t>
      </w:r>
    </w:p>
    <w:p>
      <w:pPr>
        <w:pStyle w:val="Heading2"/>
      </w:pPr>
      <w:r>
        <w:t>2.1 Five tables</w:t>
      </w:r>
    </w:p>
    <w:p>
      <w:pPr>
        <w:jc w:val="center"/>
      </w:pPr>
      <w:r>
        <w:drawing>
          <wp:inline xmlns:a="http://schemas.openxmlformats.org/drawingml/2006/main" xmlns:pic="http://schemas.openxmlformats.org/drawingml/2006/picture">
            <wp:extent cx="6120000" cy="3424954"/>
            <wp:docPr id="7" name="Picture 7"/>
            <wp:cNvGraphicFramePr>
              <a:graphicFrameLocks noChangeAspect="1"/>
            </wp:cNvGraphicFramePr>
            <a:graphic>
              <a:graphicData uri="http://schemas.openxmlformats.org/drawingml/2006/picture">
                <pic:pic>
                  <pic:nvPicPr>
                    <pic:cNvPr id="0" name="pg_schema.png"/>
                    <pic:cNvPicPr/>
                  </pic:nvPicPr>
                  <pic:blipFill>
                    <a:blip r:embed="rId16"/>
                    <a:stretch>
                      <a:fillRect/>
                    </a:stretch>
                  </pic:blipFill>
                  <pic:spPr>
                    <a:xfrm>
                      <a:off x="0" y="0"/>
                      <a:ext cx="6120000" cy="3424954"/>
                    </a:xfrm>
                    <a:prstGeom prst="rect"/>
                  </pic:spPr>
                </pic:pic>
              </a:graphicData>
            </a:graphic>
          </wp:inline>
        </w:drawing>
      </w:r>
    </w:p>
    <w:p>
      <w:pPr>
        <w:jc w:val="center"/>
      </w:pPr>
      <w:r>
        <w:rPr>
          <w:b w:val="0"/>
          <w:i/>
          <w:sz w:val="18"/>
        </w:rPr>
        <w:t>Figure 7. PostgreSQL schema: primary keys, foreign keys and checks.</w:t>
      </w:r>
    </w:p>
    <w:tbl>
      <w:tblPr>
        <w:tblStyle w:val="LightGrid-Accent1"/>
        <w:tblW w:type="auto" w:w="0"/>
        <w:jc w:val="center"/>
        <w:tblLook w:firstColumn="1" w:firstRow="1" w:lastColumn="0" w:lastRow="0" w:noHBand="0" w:noVBand="1" w:val="04A0"/>
      </w:tblPr>
      <w:tblGrid>
        <w:gridCol w:w="4819"/>
        <w:gridCol w:w="4819"/>
      </w:tblGrid>
      <w:tr>
        <w:tc>
          <w:tcPr>
            <w:tcW w:type="dxa" w:w="2551"/>
          </w:tcPr>
          <w:p>
            <w:r/>
            <w:r>
              <w:rPr>
                <w:b/>
                <w:sz w:val="18"/>
              </w:rPr>
              <w:t>Field</w:t>
            </w:r>
          </w:p>
        </w:tc>
        <w:tc>
          <w:tcPr>
            <w:tcW w:type="dxa" w:w="7087"/>
          </w:tcPr>
          <w:p>
            <w:r/>
            <w:r>
              <w:rPr>
                <w:b/>
                <w:sz w:val="18"/>
              </w:rPr>
              <w:t>Meaning and unit</w:t>
            </w:r>
          </w:p>
        </w:tc>
      </w:tr>
      <w:tr>
        <w:tc>
          <w:tcPr>
            <w:tcW w:type="dxa" w:w="2551"/>
          </w:tcPr>
          <w:p>
            <w:r/>
            <w:r>
              <w:rPr>
                <w:sz w:val="18"/>
              </w:rPr>
              <w:t>customer_id / region</w:t>
            </w:r>
          </w:p>
        </w:tc>
        <w:tc>
          <w:tcPr>
            <w:tcW w:type="dxa" w:w="7087"/>
          </w:tcPr>
          <w:p>
            <w:r/>
            <w:r>
              <w:rPr>
                <w:sz w:val="18"/>
              </w:rPr>
              <w:t>Customer identifier; home region (Kigali, Northern, Southern, Eastern, Western)</w:t>
            </w:r>
          </w:p>
        </w:tc>
      </w:tr>
      <w:tr>
        <w:tc>
          <w:tcPr>
            <w:tcW w:type="dxa" w:w="2551"/>
          </w:tcPr>
          <w:p>
            <w:r/>
            <w:r>
              <w:rPr>
                <w:sz w:val="18"/>
              </w:rPr>
              <w:t>account_id / role</w:t>
            </w:r>
          </w:p>
        </w:tc>
        <w:tc>
          <w:tcPr>
            <w:tcW w:type="dxa" w:w="7087"/>
          </w:tcPr>
          <w:p>
            <w:r/>
            <w:r>
              <w:rPr>
                <w:sz w:val="18"/>
              </w:rPr>
              <w:t>Wallet identifier; person (1–240,000), merchant (240,001–246,000), agent (246,001–248,000)</w:t>
            </w:r>
          </w:p>
        </w:tc>
      </w:tr>
      <w:tr>
        <w:tc>
          <w:tcPr>
            <w:tcW w:type="dxa" w:w="2551"/>
          </w:tcPr>
          <w:p>
            <w:r/>
            <w:r>
              <w:rPr>
                <w:sz w:val="18"/>
              </w:rPr>
              <w:t>device_id / access_type</w:t>
            </w:r>
          </w:p>
        </w:tc>
        <w:tc>
          <w:tcPr>
            <w:tcW w:type="dxa" w:w="7087"/>
          </w:tcPr>
          <w:p>
            <w:r/>
            <w:r>
              <w:rPr>
                <w:sz w:val="18"/>
              </w:rPr>
              <w:t>Device identifier; handset or public_terminal</w:t>
            </w:r>
          </w:p>
        </w:tc>
      </w:tr>
      <w:tr>
        <w:tc>
          <w:tcPr>
            <w:tcW w:type="dxa" w:w="2551"/>
          </w:tcPr>
          <w:p>
            <w:r/>
            <w:r>
              <w:rPr>
                <w:sz w:val="18"/>
              </w:rPr>
              <w:t>first_day / last_day</w:t>
            </w:r>
          </w:p>
        </w:tc>
        <w:tc>
          <w:tcPr>
            <w:tcW w:type="dxa" w:w="7087"/>
          </w:tcPr>
          <w:p>
            <w:r/>
            <w:r>
              <w:rPr>
                <w:sz w:val="18"/>
              </w:rPr>
              <w:t>Inclusive observation days, 0 = 1 Sep 2026 CAT, 29 = 30 Sep (SMALLINT)</w:t>
            </w:r>
          </w:p>
        </w:tc>
      </w:tr>
      <w:tr>
        <w:tc>
          <w:tcPr>
            <w:tcW w:type="dxa" w:w="2551"/>
          </w:tcPr>
          <w:p>
            <w:r/>
            <w:r>
              <w:rPr>
                <w:sz w:val="18"/>
              </w:rPr>
              <w:t>observations</w:t>
            </w:r>
          </w:p>
        </w:tc>
        <w:tc>
          <w:tcPr>
            <w:tcW w:type="dxa" w:w="7087"/>
          </w:tcPr>
          <w:p>
            <w:r/>
            <w:r>
              <w:rPr>
                <w:sz w:val="18"/>
              </w:rPr>
              <w:t>Count of sightings of the account on the device within the interval</w:t>
            </w:r>
          </w:p>
        </w:tc>
      </w:tr>
      <w:tr>
        <w:tc>
          <w:tcPr>
            <w:tcW w:type="dxa" w:w="2551"/>
          </w:tcPr>
          <w:p>
            <w:r/>
            <w:r>
              <w:rPr>
                <w:sz w:val="18"/>
              </w:rPr>
              <w:t>transfer_id</w:t>
            </w:r>
          </w:p>
        </w:tc>
        <w:tc>
          <w:tcPr>
            <w:tcW w:type="dxa" w:w="7087"/>
          </w:tcPr>
          <w:p>
            <w:r/>
            <w:r>
              <w:rPr>
                <w:sz w:val="18"/>
              </w:rPr>
              <w:t>Unique payment event (BIGINT)</w:t>
            </w:r>
          </w:p>
        </w:tc>
      </w:tr>
      <w:tr>
        <w:tc>
          <w:tcPr>
            <w:tcW w:type="dxa" w:w="2551"/>
          </w:tcPr>
          <w:p>
            <w:r/>
            <w:r>
              <w:rPr>
                <w:sz w:val="18"/>
              </w:rPr>
              <w:t>sender_id / receiver_id</w:t>
            </w:r>
          </w:p>
        </w:tc>
        <w:tc>
          <w:tcPr>
            <w:tcW w:type="dxa" w:w="7087"/>
          </w:tcPr>
          <w:p>
            <w:r/>
            <w:r>
              <w:rPr>
                <w:sz w:val="18"/>
              </w:rPr>
              <w:t>Paying and receiving wallets (FKs to accounts)</w:t>
            </w:r>
          </w:p>
        </w:tc>
      </w:tr>
      <w:tr>
        <w:tc>
          <w:tcPr>
            <w:tcW w:type="dxa" w:w="2551"/>
          </w:tcPr>
          <w:p>
            <w:r/>
            <w:r>
              <w:rPr>
                <w:sz w:val="18"/>
              </w:rPr>
              <w:t>occurred_at</w:t>
            </w:r>
          </w:p>
        </w:tc>
        <w:tc>
          <w:tcPr>
            <w:tcW w:type="dxa" w:w="7087"/>
          </w:tcPr>
          <w:p>
            <w:r/>
            <w:r>
              <w:rPr>
                <w:sz w:val="18"/>
              </w:rPr>
              <w:t>Unix epoch seconds (BIGINT); displayed in CAT = UTC+02:00</w:t>
            </w:r>
          </w:p>
        </w:tc>
      </w:tr>
      <w:tr>
        <w:tc>
          <w:tcPr>
            <w:tcW w:type="dxa" w:w="2551"/>
          </w:tcPr>
          <w:p>
            <w:r/>
            <w:r>
              <w:rPr>
                <w:sz w:val="18"/>
              </w:rPr>
              <w:t>amount_rwf</w:t>
            </w:r>
          </w:p>
        </w:tc>
        <w:tc>
          <w:tcPr>
            <w:tcW w:type="dxa" w:w="7087"/>
          </w:tcPr>
          <w:p>
            <w:r/>
            <w:r>
              <w:rPr>
                <w:sz w:val="18"/>
              </w:rPr>
              <w:t>Whole Rwandan francs, &gt; 0 (INTEGER)</w:t>
            </w:r>
          </w:p>
        </w:tc>
      </w:tr>
    </w:tbl>
    <w:p/>
    <w:p>
      <w:pPr>
        <w:jc w:val="center"/>
      </w:pPr>
      <w:r>
        <w:drawing>
          <wp:inline xmlns:a="http://schemas.openxmlformats.org/drawingml/2006/main" xmlns:pic="http://schemas.openxmlformats.org/drawingml/2006/picture">
            <wp:extent cx="6120000" cy="3229114"/>
            <wp:docPr id="8" name="Picture 8"/>
            <wp:cNvGraphicFramePr>
              <a:graphicFrameLocks noChangeAspect="1"/>
            </wp:cNvGraphicFramePr>
            <a:graphic>
              <a:graphicData uri="http://schemas.openxmlformats.org/drawingml/2006/picture">
                <pic:pic>
                  <pic:nvPicPr>
                    <pic:cNvPr id="0" name="2.1_definitions_0.png"/>
                    <pic:cNvPicPr/>
                  </pic:nvPicPr>
                  <pic:blipFill>
                    <a:blip r:embed="rId17"/>
                    <a:stretch>
                      <a:fillRect/>
                    </a:stretch>
                  </pic:blipFill>
                  <pic:spPr>
                    <a:xfrm>
                      <a:off x="0" y="0"/>
                      <a:ext cx="6120000" cy="3229114"/>
                    </a:xfrm>
                    <a:prstGeom prst="rect"/>
                  </pic:spPr>
                </pic:pic>
              </a:graphicData>
            </a:graphic>
          </wp:inline>
        </w:drawing>
      </w:r>
    </w:p>
    <w:p>
      <w:pPr>
        <w:jc w:val="center"/>
      </w:pPr>
      <w:r>
        <w:rPr>
          <w:b w:val="0"/>
          <w:i/>
          <w:sz w:val="18"/>
        </w:rPr>
        <w:t>Figure 8. Table definitions (\d).</w:t>
      </w:r>
    </w:p>
    <w:p>
      <w:pPr>
        <w:jc w:val="center"/>
      </w:pPr>
      <w:r>
        <w:drawing>
          <wp:inline xmlns:a="http://schemas.openxmlformats.org/drawingml/2006/main" xmlns:pic="http://schemas.openxmlformats.org/drawingml/2006/picture">
            <wp:extent cx="6120000" cy="3433326"/>
            <wp:docPr id="9" name="Picture 9"/>
            <wp:cNvGraphicFramePr>
              <a:graphicFrameLocks noChangeAspect="1"/>
            </wp:cNvGraphicFramePr>
            <a:graphic>
              <a:graphicData uri="http://schemas.openxmlformats.org/drawingml/2006/picture">
                <pic:pic>
                  <pic:nvPicPr>
                    <pic:cNvPr id="0" name="2.1_definitions_1.png"/>
                    <pic:cNvPicPr/>
                  </pic:nvPicPr>
                  <pic:blipFill>
                    <a:blip r:embed="rId18"/>
                    <a:stretch>
                      <a:fillRect/>
                    </a:stretch>
                  </pic:blipFill>
                  <pic:spPr>
                    <a:xfrm>
                      <a:off x="0" y="0"/>
                      <a:ext cx="6120000" cy="3433326"/>
                    </a:xfrm>
                    <a:prstGeom prst="rect"/>
                  </pic:spPr>
                </pic:pic>
              </a:graphicData>
            </a:graphic>
          </wp:inline>
        </w:drawing>
      </w:r>
    </w:p>
    <w:p>
      <w:pPr>
        <w:jc w:val="center"/>
      </w:pPr>
      <w:r>
        <w:rPr>
          <w:b w:val="0"/>
          <w:i/>
          <w:sz w:val="18"/>
        </w:rPr>
        <w:t>Figure 9. Table definitions, indexes and foreign keys.</w:t>
      </w:r>
    </w:p>
    <w:p>
      <w:pPr>
        <w:jc w:val="center"/>
      </w:pPr>
      <w:r>
        <w:drawing>
          <wp:inline xmlns:a="http://schemas.openxmlformats.org/drawingml/2006/main" xmlns:pic="http://schemas.openxmlformats.org/drawingml/2006/picture">
            <wp:extent cx="6120000" cy="2335683"/>
            <wp:docPr id="10" name="Picture 10"/>
            <wp:cNvGraphicFramePr>
              <a:graphicFrameLocks noChangeAspect="1"/>
            </wp:cNvGraphicFramePr>
            <a:graphic>
              <a:graphicData uri="http://schemas.openxmlformats.org/drawingml/2006/picture">
                <pic:pic>
                  <pic:nvPicPr>
                    <pic:cNvPr id="0" name="2.1_definitions_2.png"/>
                    <pic:cNvPicPr/>
                  </pic:nvPicPr>
                  <pic:blipFill>
                    <a:blip r:embed="rId19"/>
                    <a:stretch>
                      <a:fillRect/>
                    </a:stretch>
                  </pic:blipFill>
                  <pic:spPr>
                    <a:xfrm>
                      <a:off x="0" y="0"/>
                      <a:ext cx="6120000" cy="2335683"/>
                    </a:xfrm>
                    <a:prstGeom prst="rect"/>
                  </pic:spPr>
                </pic:pic>
              </a:graphicData>
            </a:graphic>
          </wp:inline>
        </w:drawing>
      </w:r>
    </w:p>
    <w:p>
      <w:pPr>
        <w:jc w:val="center"/>
      </w:pPr>
      <w:r>
        <w:rPr>
          <w:b w:val="0"/>
          <w:i/>
          <w:sz w:val="18"/>
        </w:rPr>
        <w:t>Figure 10. All constraints validated.</w:t>
      </w:r>
    </w:p>
    <w:p>
      <w:pPr>
        <w:pStyle w:val="Heading2"/>
      </w:pPr>
      <w:r>
        <w:t>2.2 Bulk load and checks</w:t>
      </w:r>
    </w:p>
    <w:p>
      <w:r>
        <w:rPr>
          <w:b w:val="0"/>
          <w:i w:val="0"/>
        </w:rPr>
        <w:t>Tables were created with NOT NULL columns only, loaded with \copy (customers and devices, then accounts, account_devices, transfers), and only then given keys, foreign keys, checks, indexes and ANALYZE, so load and setup times are separate.</w:t>
      </w:r>
    </w:p>
    <w:tbl>
      <w:tblPr>
        <w:tblStyle w:val="LightGrid-Accent1"/>
        <w:tblW w:type="auto" w:w="0"/>
        <w:jc w:val="center"/>
        <w:tblLook w:firstColumn="1" w:firstRow="1" w:lastColumn="0" w:lastRow="0" w:noHBand="0" w:noVBand="1" w:val="04A0"/>
      </w:tblPr>
      <w:tblGrid>
        <w:gridCol w:w="4819"/>
        <w:gridCol w:w="4819"/>
      </w:tblGrid>
      <w:tr>
        <w:tc>
          <w:tcPr>
            <w:tcW w:type="dxa" w:w="5669"/>
          </w:tcPr>
          <w:p>
            <w:r/>
            <w:r>
              <w:rPr>
                <w:b/>
                <w:sz w:val="18"/>
              </w:rPr>
              <w:t>Step</w:t>
            </w:r>
          </w:p>
        </w:tc>
        <w:tc>
          <w:tcPr>
            <w:tcW w:type="dxa" w:w="2268"/>
          </w:tcPr>
          <w:p>
            <w:r/>
            <w:r>
              <w:rPr>
                <w:b/>
                <w:sz w:val="18"/>
              </w:rPr>
              <w:t>Seconds</w:t>
            </w:r>
          </w:p>
        </w:tc>
      </w:tr>
      <w:tr>
        <w:tc>
          <w:tcPr>
            <w:tcW w:type="dxa" w:w="5669"/>
          </w:tcPr>
          <w:p>
            <w:r/>
            <w:r>
              <w:rPr>
                <w:sz w:val="18"/>
              </w:rPr>
              <w:t>\copy load (5 files)</w:t>
            </w:r>
          </w:p>
        </w:tc>
        <w:tc>
          <w:tcPr>
            <w:tcW w:type="dxa" w:w="2268"/>
          </w:tcPr>
          <w:p>
            <w:r/>
            <w:r>
              <w:rPr>
                <w:sz w:val="18"/>
              </w:rPr>
              <w:t>34.6</w:t>
            </w:r>
          </w:p>
        </w:tc>
      </w:tr>
      <w:tr>
        <w:tc>
          <w:tcPr>
            <w:tcW w:type="dxa" w:w="5669"/>
          </w:tcPr>
          <w:p>
            <w:r/>
            <w:r>
              <w:rPr>
                <w:sz w:val="18"/>
              </w:rPr>
              <w:t>Keys, FKs, checks, 5 indexes, ANALYZE</w:t>
            </w:r>
          </w:p>
        </w:tc>
        <w:tc>
          <w:tcPr>
            <w:tcW w:type="dxa" w:w="2268"/>
          </w:tcPr>
          <w:p>
            <w:r/>
            <w:r>
              <w:rPr>
                <w:sz w:val="18"/>
              </w:rPr>
              <w:t>96.8</w:t>
            </w:r>
          </w:p>
        </w:tc>
      </w:tr>
      <w:tr>
        <w:tc>
          <w:tcPr>
            <w:tcW w:type="dxa" w:w="5669"/>
          </w:tcPr>
          <w:p>
            <w:r/>
            <w:r>
              <w:rPr>
                <w:sz w:val="18"/>
              </w:rPr>
              <w:t>Total</w:t>
            </w:r>
          </w:p>
        </w:tc>
        <w:tc>
          <w:tcPr>
            <w:tcW w:type="dxa" w:w="2268"/>
          </w:tcPr>
          <w:p>
            <w:r/>
            <w:r>
              <w:rPr>
                <w:sz w:val="18"/>
              </w:rPr>
              <w:t>131.4</w:t>
            </w:r>
          </w:p>
        </w:tc>
      </w:tr>
    </w:tbl>
    <w:p/>
    <w:p>
      <w:r>
        <w:rPr>
          <w:b w:val="0"/>
          <w:i w:val="0"/>
        </w:rPr>
        <w:t>Counts, transfer audit totals and roles (240,000 / 6,000 / 2,000) all match capture.py; 13 constraints validated; 17/17 columns NOT NULL. Size: data 1.250 GB, indexes 2.468 GB, database 3.727 GB (1 GB = 10^9 bytes). The two covering transfer indexes are ≈ 0.99 GB each.</w:t>
      </w:r>
    </w:p>
    <w:p>
      <w:pPr>
        <w:jc w:val="center"/>
      </w:pPr>
      <w:r>
        <w:drawing>
          <wp:inline xmlns:a="http://schemas.openxmlformats.org/drawingml/2006/main" xmlns:pic="http://schemas.openxmlformats.org/drawingml/2006/picture">
            <wp:extent cx="6120000" cy="2035746"/>
            <wp:docPr id="11" name="Picture 11"/>
            <wp:cNvGraphicFramePr>
              <a:graphicFrameLocks noChangeAspect="1"/>
            </wp:cNvGraphicFramePr>
            <a:graphic>
              <a:graphicData uri="http://schemas.openxmlformats.org/drawingml/2006/picture">
                <pic:pic>
                  <pic:nvPicPr>
                    <pic:cNvPr id="0" name="2.2_load.png"/>
                    <pic:cNvPicPr/>
                  </pic:nvPicPr>
                  <pic:blipFill>
                    <a:blip r:embed="rId20"/>
                    <a:stretch>
                      <a:fillRect/>
                    </a:stretch>
                  </pic:blipFill>
                  <pic:spPr>
                    <a:xfrm>
                      <a:off x="0" y="0"/>
                      <a:ext cx="6120000" cy="2035746"/>
                    </a:xfrm>
                    <a:prstGeom prst="rect"/>
                  </pic:spPr>
                </pic:pic>
              </a:graphicData>
            </a:graphic>
          </wp:inline>
        </w:drawing>
      </w:r>
    </w:p>
    <w:p>
      <w:pPr>
        <w:jc w:val="center"/>
      </w:pPr>
      <w:r>
        <w:rPr>
          <w:b w:val="0"/>
          <w:i/>
          <w:sz w:val="18"/>
        </w:rPr>
        <w:t>Figure 11. \copy load with per-file timings: 34.6 s.</w:t>
      </w:r>
    </w:p>
    <w:p>
      <w:pPr>
        <w:jc w:val="center"/>
      </w:pPr>
      <w:r>
        <w:drawing>
          <wp:inline xmlns:a="http://schemas.openxmlformats.org/drawingml/2006/main" xmlns:pic="http://schemas.openxmlformats.org/drawingml/2006/picture">
            <wp:extent cx="6120000" cy="3439708"/>
            <wp:docPr id="12" name="Picture 12"/>
            <wp:cNvGraphicFramePr>
              <a:graphicFrameLocks noChangeAspect="1"/>
            </wp:cNvGraphicFramePr>
            <a:graphic>
              <a:graphicData uri="http://schemas.openxmlformats.org/drawingml/2006/picture">
                <pic:pic>
                  <pic:nvPicPr>
                    <pic:cNvPr id="0" name="2.2_setup.png"/>
                    <pic:cNvPicPr/>
                  </pic:nvPicPr>
                  <pic:blipFill>
                    <a:blip r:embed="rId21"/>
                    <a:stretch>
                      <a:fillRect/>
                    </a:stretch>
                  </pic:blipFill>
                  <pic:spPr>
                    <a:xfrm>
                      <a:off x="0" y="0"/>
                      <a:ext cx="6120000" cy="3439708"/>
                    </a:xfrm>
                    <a:prstGeom prst="rect"/>
                  </pic:spPr>
                </pic:pic>
              </a:graphicData>
            </a:graphic>
          </wp:inline>
        </w:drawing>
      </w:r>
    </w:p>
    <w:p>
      <w:pPr>
        <w:jc w:val="center"/>
      </w:pPr>
      <w:r>
        <w:rPr>
          <w:b w:val="0"/>
          <w:i/>
          <w:sz w:val="18"/>
        </w:rPr>
        <w:t>Figure 12. Constraints, indexes and ANALYZE: 96.8 s.</w:t>
      </w:r>
    </w:p>
    <w:p>
      <w:pPr>
        <w:jc w:val="center"/>
      </w:pPr>
      <w:r>
        <w:drawing>
          <wp:inline xmlns:a="http://schemas.openxmlformats.org/drawingml/2006/main" xmlns:pic="http://schemas.openxmlformats.org/drawingml/2006/picture">
            <wp:extent cx="6120000" cy="3197205"/>
            <wp:docPr id="13" name="Picture 13"/>
            <wp:cNvGraphicFramePr>
              <a:graphicFrameLocks noChangeAspect="1"/>
            </wp:cNvGraphicFramePr>
            <a:graphic>
              <a:graphicData uri="http://schemas.openxmlformats.org/drawingml/2006/picture">
                <pic:pic>
                  <pic:nvPicPr>
                    <pic:cNvPr id="0" name="2.2_checks_0.png"/>
                    <pic:cNvPicPr/>
                  </pic:nvPicPr>
                  <pic:blipFill>
                    <a:blip r:embed="rId22"/>
                    <a:stretch>
                      <a:fillRect/>
                    </a:stretch>
                  </pic:blipFill>
                  <pic:spPr>
                    <a:xfrm>
                      <a:off x="0" y="0"/>
                      <a:ext cx="6120000" cy="3197205"/>
                    </a:xfrm>
                    <a:prstGeom prst="rect"/>
                  </pic:spPr>
                </pic:pic>
              </a:graphicData>
            </a:graphic>
          </wp:inline>
        </w:drawing>
      </w:r>
    </w:p>
    <w:p>
      <w:pPr>
        <w:jc w:val="center"/>
      </w:pPr>
      <w:r>
        <w:rPr>
          <w:b w:val="0"/>
          <w:i/>
          <w:sz w:val="18"/>
        </w:rPr>
        <w:t>Figure 13. pg_checks.py: counts, audit totals, roles, constraints, indexes.</w:t>
      </w:r>
    </w:p>
    <w:p>
      <w:pPr>
        <w:jc w:val="center"/>
      </w:pPr>
      <w:r>
        <w:drawing>
          <wp:inline xmlns:a="http://schemas.openxmlformats.org/drawingml/2006/main" xmlns:pic="http://schemas.openxmlformats.org/drawingml/2006/picture">
            <wp:extent cx="6120000" cy="998728"/>
            <wp:docPr id="14" name="Picture 14"/>
            <wp:cNvGraphicFramePr>
              <a:graphicFrameLocks noChangeAspect="1"/>
            </wp:cNvGraphicFramePr>
            <a:graphic>
              <a:graphicData uri="http://schemas.openxmlformats.org/drawingml/2006/picture">
                <pic:pic>
                  <pic:nvPicPr>
                    <pic:cNvPr id="0" name="2.2_checks_1.png"/>
                    <pic:cNvPicPr/>
                  </pic:nvPicPr>
                  <pic:blipFill>
                    <a:blip r:embed="rId23"/>
                    <a:stretch>
                      <a:fillRect/>
                    </a:stretch>
                  </pic:blipFill>
                  <pic:spPr>
                    <a:xfrm>
                      <a:off x="0" y="0"/>
                      <a:ext cx="6120000" cy="998728"/>
                    </a:xfrm>
                    <a:prstGeom prst="rect"/>
                  </pic:spPr>
                </pic:pic>
              </a:graphicData>
            </a:graphic>
          </wp:inline>
        </w:drawing>
      </w:r>
    </w:p>
    <w:p>
      <w:pPr>
        <w:jc w:val="center"/>
      </w:pPr>
      <w:r>
        <w:rPr>
          <w:b w:val="0"/>
          <w:i/>
          <w:sz w:val="18"/>
        </w:rPr>
        <w:t>Figure 14. pg_checks.py: data/index sizes and PASSED.</w:t>
      </w:r>
    </w:p>
    <w:p>
      <w:r>
        <w:br w:type="page"/>
      </w:r>
    </w:p>
    <w:p>
      <w:pPr>
        <w:pStyle w:val="Heading1"/>
      </w:pPr>
      <w:r>
        <w:t>3 Build Neo4j</w:t>
      </w:r>
    </w:p>
    <w:p>
      <w:pPr>
        <w:pStyle w:val="Heading2"/>
      </w:pPr>
      <w:r>
        <w:t>3.1 Graph model</w:t>
      </w:r>
    </w:p>
    <w:p>
      <w:pPr>
        <w:jc w:val="center"/>
      </w:pPr>
      <w:r>
        <w:drawing>
          <wp:inline xmlns:a="http://schemas.openxmlformats.org/drawingml/2006/main" xmlns:pic="http://schemas.openxmlformats.org/drawingml/2006/picture">
            <wp:extent cx="6120000" cy="2818110"/>
            <wp:docPr id="15" name="Picture 15"/>
            <wp:cNvGraphicFramePr>
              <a:graphicFrameLocks noChangeAspect="1"/>
            </wp:cNvGraphicFramePr>
            <a:graphic>
              <a:graphicData uri="http://schemas.openxmlformats.org/drawingml/2006/picture">
                <pic:pic>
                  <pic:nvPicPr>
                    <pic:cNvPr id="0" name="neo_schema.png"/>
                    <pic:cNvPicPr/>
                  </pic:nvPicPr>
                  <pic:blipFill>
                    <a:blip r:embed="rId24"/>
                    <a:stretch>
                      <a:fillRect/>
                    </a:stretch>
                  </pic:blipFill>
                  <pic:spPr>
                    <a:xfrm>
                      <a:off x="0" y="0"/>
                      <a:ext cx="6120000" cy="2818110"/>
                    </a:xfrm>
                    <a:prstGeom prst="rect"/>
                  </pic:spPr>
                </pic:pic>
              </a:graphicData>
            </a:graphic>
          </wp:inline>
        </w:drawing>
      </w:r>
    </w:p>
    <w:p>
      <w:pPr>
        <w:jc w:val="center"/>
      </w:pPr>
      <w:r>
        <w:rPr>
          <w:b w:val="0"/>
          <w:i/>
          <w:sz w:val="18"/>
        </w:rPr>
        <w:t>Figure 15. Graph schema: Customer, Account, Device nodes; OWNS, USED_DEVICE, TRANSFER.</w:t>
      </w:r>
    </w:p>
    <w:tbl>
      <w:tblPr>
        <w:tblStyle w:val="LightGrid-Accent1"/>
        <w:tblW w:type="auto" w:w="0"/>
        <w:jc w:val="center"/>
        <w:tblLook w:firstColumn="1" w:firstRow="1" w:lastColumn="0" w:lastRow="0" w:noHBand="0" w:noVBand="1" w:val="04A0"/>
      </w:tblPr>
      <w:tblGrid>
        <w:gridCol w:w="4819"/>
        <w:gridCol w:w="4819"/>
      </w:tblGrid>
      <w:tr>
        <w:tc>
          <w:tcPr>
            <w:tcW w:type="dxa" w:w="3402"/>
          </w:tcPr>
          <w:p>
            <w:r/>
            <w:r>
              <w:rPr>
                <w:b/>
                <w:sz w:val="18"/>
              </w:rPr>
              <w:t>Source field</w:t>
            </w:r>
          </w:p>
        </w:tc>
        <w:tc>
          <w:tcPr>
            <w:tcW w:type="dxa" w:w="6236"/>
          </w:tcPr>
          <w:p>
            <w:r/>
            <w:r>
              <w:rPr>
                <w:b/>
                <w:sz w:val="18"/>
              </w:rPr>
              <w:t>Graph element</w:t>
            </w:r>
          </w:p>
        </w:tc>
      </w:tr>
      <w:tr>
        <w:tc>
          <w:tcPr>
            <w:tcW w:type="dxa" w:w="3402"/>
          </w:tcPr>
          <w:p>
            <w:r/>
            <w:r>
              <w:rPr>
                <w:sz w:val="18"/>
              </w:rPr>
              <w:t>customers.customer_id, region</w:t>
            </w:r>
          </w:p>
        </w:tc>
        <w:tc>
          <w:tcPr>
            <w:tcW w:type="dxa" w:w="6236"/>
          </w:tcPr>
          <w:p>
            <w:r/>
            <w:r>
              <w:rPr>
                <w:sz w:val="18"/>
              </w:rPr>
              <w:t>:Customer {customer_id, region}</w:t>
            </w:r>
          </w:p>
        </w:tc>
      </w:tr>
      <w:tr>
        <w:tc>
          <w:tcPr>
            <w:tcW w:type="dxa" w:w="3402"/>
          </w:tcPr>
          <w:p>
            <w:r/>
            <w:r>
              <w:rPr>
                <w:sz w:val="18"/>
              </w:rPr>
              <w:t>accounts.account_id, role</w:t>
            </w:r>
          </w:p>
        </w:tc>
        <w:tc>
          <w:tcPr>
            <w:tcW w:type="dxa" w:w="6236"/>
          </w:tcPr>
          <w:p>
            <w:r/>
            <w:r>
              <w:rPr>
                <w:sz w:val="18"/>
              </w:rPr>
              <w:t>:Account {account_id, role}</w:t>
            </w:r>
          </w:p>
        </w:tc>
      </w:tr>
      <w:tr>
        <w:tc>
          <w:tcPr>
            <w:tcW w:type="dxa" w:w="3402"/>
          </w:tcPr>
          <w:p>
            <w:r/>
            <w:r>
              <w:rPr>
                <w:sz w:val="18"/>
              </w:rPr>
              <w:t>accounts.customer_id</w:t>
            </w:r>
          </w:p>
        </w:tc>
        <w:tc>
          <w:tcPr>
            <w:tcW w:type="dxa" w:w="6236"/>
          </w:tcPr>
          <w:p>
            <w:r/>
            <w:r>
              <w:rPr>
                <w:sz w:val="18"/>
              </w:rPr>
              <w:t>(:Customer)-[:OWNS]-&gt;(:Account) (ignored on the node)</w:t>
            </w:r>
          </w:p>
        </w:tc>
      </w:tr>
      <w:tr>
        <w:tc>
          <w:tcPr>
            <w:tcW w:type="dxa" w:w="3402"/>
          </w:tcPr>
          <w:p>
            <w:r/>
            <w:r>
              <w:rPr>
                <w:sz w:val="18"/>
              </w:rPr>
              <w:t>devices.device_id, access_type</w:t>
            </w:r>
          </w:p>
        </w:tc>
        <w:tc>
          <w:tcPr>
            <w:tcW w:type="dxa" w:w="6236"/>
          </w:tcPr>
          <w:p>
            <w:r/>
            <w:r>
              <w:rPr>
                <w:sz w:val="18"/>
              </w:rPr>
              <w:t>:Device {device_id, access_type}</w:t>
            </w:r>
          </w:p>
        </w:tc>
      </w:tr>
      <w:tr>
        <w:tc>
          <w:tcPr>
            <w:tcW w:type="dxa" w:w="3402"/>
          </w:tcPr>
          <w:p>
            <w:r/>
            <w:r>
              <w:rPr>
                <w:sz w:val="18"/>
              </w:rPr>
              <w:t>account_devices.*</w:t>
            </w:r>
          </w:p>
        </w:tc>
        <w:tc>
          <w:tcPr>
            <w:tcW w:type="dxa" w:w="6236"/>
          </w:tcPr>
          <w:p>
            <w:r/>
            <w:r>
              <w:rPr>
                <w:sz w:val="18"/>
              </w:rPr>
              <w:t>(:Account)-[:USED_DEVICE {first_day, last_day, observations}]-&gt;(:Device)</w:t>
            </w:r>
          </w:p>
        </w:tc>
      </w:tr>
      <w:tr>
        <w:tc>
          <w:tcPr>
            <w:tcW w:type="dxa" w:w="3402"/>
          </w:tcPr>
          <w:p>
            <w:r/>
            <w:r>
              <w:rPr>
                <w:sz w:val="18"/>
              </w:rPr>
              <w:t>transfers.*</w:t>
            </w:r>
          </w:p>
        </w:tc>
        <w:tc>
          <w:tcPr>
            <w:tcW w:type="dxa" w:w="6236"/>
          </w:tcPr>
          <w:p>
            <w:r/>
            <w:r>
              <w:rPr>
                <w:sz w:val="18"/>
              </w:rPr>
              <w:t>(:Account)-[:TRANSFER {transfer_id, occurred_at, amount_rwf}]-&gt;(:Account), one per row</w:t>
            </w:r>
          </w:p>
        </w:tc>
      </w:tr>
    </w:tbl>
    <w:p/>
    <w:p>
      <w:pPr>
        <w:pStyle w:val="Heading2"/>
      </w:pPr>
      <w:r>
        <w:t>3.2 Import</w:t>
      </w:r>
    </w:p>
    <w:p>
      <w:r>
        <w:rPr>
          <w:b w:val="0"/>
          <w:i w:val="0"/>
        </w:rPr>
        <w:t>prepare_import.py writes temporary copies with typed headers (ID groups Customer, Account, Device; :int/:long numbers) and derives owns.csv in (customer_id, account_id) order; the source CSVs are unchanged. neo4j-admin database import full ran with --id-type=integer, three node and three relationship files.</w:t>
      </w:r>
    </w:p>
    <w:tbl>
      <w:tblPr>
        <w:tblStyle w:val="LightGrid-Accent1"/>
        <w:tblW w:type="auto" w:w="0"/>
        <w:jc w:val="center"/>
        <w:tblLook w:firstColumn="1" w:firstRow="1" w:lastColumn="0" w:lastRow="0" w:noHBand="0" w:noVBand="1" w:val="04A0"/>
      </w:tblPr>
      <w:tblGrid>
        <w:gridCol w:w="4819"/>
        <w:gridCol w:w="4819"/>
      </w:tblGrid>
      <w:tr>
        <w:tc>
          <w:tcPr>
            <w:tcW w:type="dxa" w:w="4535"/>
          </w:tcPr>
          <w:p>
            <w:r/>
            <w:r>
              <w:rPr>
                <w:b/>
                <w:sz w:val="18"/>
              </w:rPr>
              <w:t>Measure</w:t>
            </w:r>
          </w:p>
        </w:tc>
        <w:tc>
          <w:tcPr>
            <w:tcW w:type="dxa" w:w="4535"/>
          </w:tcPr>
          <w:p>
            <w:r/>
            <w:r>
              <w:rPr>
                <w:b/>
                <w:sz w:val="18"/>
              </w:rPr>
              <w:t>Value</w:t>
            </w:r>
          </w:p>
        </w:tc>
      </w:tr>
      <w:tr>
        <w:tc>
          <w:tcPr>
            <w:tcW w:type="dxa" w:w="4535"/>
          </w:tcPr>
          <w:p>
            <w:r/>
            <w:r>
              <w:rPr>
                <w:sz w:val="18"/>
              </w:rPr>
              <w:t>Offline import</w:t>
            </w:r>
          </w:p>
        </w:tc>
        <w:tc>
          <w:tcPr>
            <w:tcW w:type="dxa" w:w="4535"/>
          </w:tcPr>
          <w:p>
            <w:r/>
            <w:r>
              <w:rPr>
                <w:sz w:val="18"/>
              </w:rPr>
              <w:t>58.1 s</w:t>
            </w:r>
          </w:p>
        </w:tc>
      </w:tr>
      <w:tr>
        <w:tc>
          <w:tcPr>
            <w:tcW w:type="dxa" w:w="4535"/>
          </w:tcPr>
          <w:p>
            <w:r/>
            <w:r>
              <w:rPr>
                <w:sz w:val="18"/>
              </w:rPr>
              <w:t>Constraints + range index online</w:t>
            </w:r>
          </w:p>
        </w:tc>
        <w:tc>
          <w:tcPr>
            <w:tcW w:type="dxa" w:w="4535"/>
          </w:tcPr>
          <w:p>
            <w:r/>
            <w:r>
              <w:rPr>
                <w:sz w:val="18"/>
              </w:rPr>
              <w:t>31.7 s</w:t>
            </w:r>
          </w:p>
        </w:tc>
      </w:tr>
      <w:tr>
        <w:tc>
          <w:tcPr>
            <w:tcW w:type="dxa" w:w="4535"/>
          </w:tcPr>
          <w:p>
            <w:r/>
            <w:r>
              <w:rPr>
                <w:sz w:val="18"/>
              </w:rPr>
              <w:t>Store size</w:t>
            </w:r>
          </w:p>
        </w:tc>
        <w:tc>
          <w:tcPr>
            <w:tcW w:type="dxa" w:w="4535"/>
          </w:tcPr>
          <w:p>
            <w:r/>
            <w:r>
              <w:rPr>
                <w:sz w:val="18"/>
              </w:rPr>
              <w:t>2.049 GB</w:t>
            </w:r>
          </w:p>
        </w:tc>
      </w:tr>
      <w:tr>
        <w:tc>
          <w:tcPr>
            <w:tcW w:type="dxa" w:w="4535"/>
          </w:tcPr>
          <w:p>
            <w:r/>
            <w:r>
              <w:rPr>
                <w:sz w:val="18"/>
              </w:rPr>
              <w:t>Transaction logs</w:t>
            </w:r>
          </w:p>
        </w:tc>
        <w:tc>
          <w:tcPr>
            <w:tcW w:type="dxa" w:w="4535"/>
          </w:tcPr>
          <w:p>
            <w:r/>
            <w:r>
              <w:rPr>
                <w:sz w:val="18"/>
              </w:rPr>
              <w:t>0.000 GB</w:t>
            </w:r>
          </w:p>
        </w:tc>
      </w:tr>
      <w:tr>
        <w:tc>
          <w:tcPr>
            <w:tcW w:type="dxa" w:w="4535"/>
          </w:tcPr>
          <w:p>
            <w:r/>
            <w:r>
              <w:rPr>
                <w:sz w:val="18"/>
              </w:rPr>
              <w:t>Nodes / relationships</w:t>
            </w:r>
          </w:p>
        </w:tc>
        <w:tc>
          <w:tcPr>
            <w:tcW w:type="dxa" w:w="4535"/>
          </w:tcPr>
          <w:p>
            <w:r/>
            <w:r>
              <w:rPr>
                <w:sz w:val="18"/>
              </w:rPr>
              <w:t>704,600 / 20,536,900 (all checks passed)</w:t>
            </w:r>
          </w:p>
        </w:tc>
      </w:tr>
    </w:tbl>
    <w:p/>
    <w:p>
      <w:pPr>
        <w:jc w:val="center"/>
      </w:pPr>
      <w:r>
        <w:drawing>
          <wp:inline xmlns:a="http://schemas.openxmlformats.org/drawingml/2006/main" xmlns:pic="http://schemas.openxmlformats.org/drawingml/2006/picture">
            <wp:extent cx="6120000" cy="3439708"/>
            <wp:docPr id="16" name="Picture 16"/>
            <wp:cNvGraphicFramePr>
              <a:graphicFrameLocks noChangeAspect="1"/>
            </wp:cNvGraphicFramePr>
            <a:graphic>
              <a:graphicData uri="http://schemas.openxmlformats.org/drawingml/2006/picture">
                <pic:pic>
                  <pic:nvPicPr>
                    <pic:cNvPr id="0" name="3.2_import.png"/>
                    <pic:cNvPicPr/>
                  </pic:nvPicPr>
                  <pic:blipFill>
                    <a:blip r:embed="rId25"/>
                    <a:stretch>
                      <a:fillRect/>
                    </a:stretch>
                  </pic:blipFill>
                  <pic:spPr>
                    <a:xfrm>
                      <a:off x="0" y="0"/>
                      <a:ext cx="6120000" cy="3439708"/>
                    </a:xfrm>
                    <a:prstGeom prst="rect"/>
                  </pic:spPr>
                </pic:pic>
              </a:graphicData>
            </a:graphic>
          </wp:inline>
        </w:drawing>
      </w:r>
    </w:p>
    <w:p>
      <w:pPr>
        <w:jc w:val="center"/>
      </w:pPr>
      <w:r>
        <w:rPr>
          <w:b w:val="0"/>
          <w:i/>
          <w:sz w:val="18"/>
        </w:rPr>
        <w:t>Figure 16. neo4j-admin full import completed.</w:t>
      </w:r>
    </w:p>
    <w:p>
      <w:pPr>
        <w:jc w:val="center"/>
      </w:pPr>
      <w:r>
        <w:drawing>
          <wp:inline xmlns:a="http://schemas.openxmlformats.org/drawingml/2006/main" xmlns:pic="http://schemas.openxmlformats.org/drawingml/2006/picture">
            <wp:extent cx="6120000" cy="2265485"/>
            <wp:docPr id="17" name="Picture 17"/>
            <wp:cNvGraphicFramePr>
              <a:graphicFrameLocks noChangeAspect="1"/>
            </wp:cNvGraphicFramePr>
            <a:graphic>
              <a:graphicData uri="http://schemas.openxmlformats.org/drawingml/2006/picture">
                <pic:pic>
                  <pic:nvPicPr>
                    <pic:cNvPr id="0" name="3.2_setup.png"/>
                    <pic:cNvPicPr/>
                  </pic:nvPicPr>
                  <pic:blipFill>
                    <a:blip r:embed="rId26"/>
                    <a:stretch>
                      <a:fillRect/>
                    </a:stretch>
                  </pic:blipFill>
                  <pic:spPr>
                    <a:xfrm>
                      <a:off x="0" y="0"/>
                      <a:ext cx="6120000" cy="2265485"/>
                    </a:xfrm>
                    <a:prstGeom prst="rect"/>
                  </pic:spPr>
                </pic:pic>
              </a:graphicData>
            </a:graphic>
          </wp:inline>
        </w:drawing>
      </w:r>
    </w:p>
    <w:p>
      <w:pPr>
        <w:jc w:val="center"/>
      </w:pPr>
      <w:r>
        <w:rPr>
          <w:b w:val="0"/>
          <w:i/>
          <w:sz w:val="18"/>
        </w:rPr>
        <w:t>Figure 17. Unique constraints and TRANSFER.occurred_at range index online; store and log sizes.</w:t>
      </w:r>
    </w:p>
    <w:p>
      <w:pPr>
        <w:jc w:val="center"/>
      </w:pPr>
      <w:r>
        <w:drawing>
          <wp:inline xmlns:a="http://schemas.openxmlformats.org/drawingml/2006/main" xmlns:pic="http://schemas.openxmlformats.org/drawingml/2006/picture">
            <wp:extent cx="6120000" cy="2702628"/>
            <wp:docPr id="18" name="Picture 18"/>
            <wp:cNvGraphicFramePr>
              <a:graphicFrameLocks noChangeAspect="1"/>
            </wp:cNvGraphicFramePr>
            <a:graphic>
              <a:graphicData uri="http://schemas.openxmlformats.org/drawingml/2006/picture">
                <pic:pic>
                  <pic:nvPicPr>
                    <pic:cNvPr id="0" name="3.2_checks.png"/>
                    <pic:cNvPicPr/>
                  </pic:nvPicPr>
                  <pic:blipFill>
                    <a:blip r:embed="rId27"/>
                    <a:stretch>
                      <a:fillRect/>
                    </a:stretch>
                  </pic:blipFill>
                  <pic:spPr>
                    <a:xfrm>
                      <a:off x="0" y="0"/>
                      <a:ext cx="6120000" cy="2702628"/>
                    </a:xfrm>
                    <a:prstGeom prst="rect"/>
                  </pic:spPr>
                </pic:pic>
              </a:graphicData>
            </a:graphic>
          </wp:inline>
        </w:drawing>
      </w:r>
    </w:p>
    <w:p>
      <w:pPr>
        <w:jc w:val="center"/>
      </w:pPr>
      <w:r>
        <w:rPr>
          <w:b w:val="0"/>
          <w:i/>
          <w:sz w:val="18"/>
        </w:rPr>
        <w:t>Figure 18. Node/relationship counts, roles, one owner per account, unique transfer_id, audit totals.</w:t>
      </w:r>
    </w:p>
    <w:p>
      <w:pPr>
        <w:jc w:val="center"/>
      </w:pPr>
      <w:r>
        <w:drawing>
          <wp:inline xmlns:a="http://schemas.openxmlformats.org/drawingml/2006/main" xmlns:pic="http://schemas.openxmlformats.org/drawingml/2006/picture">
            <wp:extent cx="6120000" cy="489085"/>
            <wp:docPr id="19" name="Picture 19"/>
            <wp:cNvGraphicFramePr>
              <a:graphicFrameLocks noChangeAspect="1"/>
            </wp:cNvGraphicFramePr>
            <a:graphic>
              <a:graphicData uri="http://schemas.openxmlformats.org/drawingml/2006/picture">
                <pic:pic>
                  <pic:nvPicPr>
                    <pic:cNvPr id="0" name="3.2_clean.png"/>
                    <pic:cNvPicPr/>
                  </pic:nvPicPr>
                  <pic:blipFill>
                    <a:blip r:embed="rId28"/>
                    <a:stretch>
                      <a:fillRect/>
                    </a:stretch>
                  </pic:blipFill>
                  <pic:spPr>
                    <a:xfrm>
                      <a:off x="0" y="0"/>
                      <a:ext cx="6120000" cy="489085"/>
                    </a:xfrm>
                    <a:prstGeom prst="rect"/>
                  </pic:spPr>
                </pic:pic>
              </a:graphicData>
            </a:graphic>
          </wp:inline>
        </w:drawing>
      </w:r>
    </w:p>
    <w:p>
      <w:pPr>
        <w:jc w:val="center"/>
      </w:pPr>
      <w:r>
        <w:rPr>
          <w:b w:val="0"/>
          <w:i/>
          <w:sz w:val="18"/>
        </w:rPr>
        <w:t>Figure 19. Temporary import copies removed.</w:t>
      </w:r>
    </w:p>
    <w:p>
      <w:pPr>
        <w:pStyle w:val="Heading2"/>
      </w:pPr>
      <w:r>
        <w:t>3.3 One account in both models</w:t>
      </w:r>
    </w:p>
    <w:p>
      <w:pPr>
        <w:jc w:val="center"/>
      </w:pPr>
      <w:r>
        <w:drawing>
          <wp:inline xmlns:a="http://schemas.openxmlformats.org/drawingml/2006/main" xmlns:pic="http://schemas.openxmlformats.org/drawingml/2006/picture">
            <wp:extent cx="6120000" cy="2967466"/>
            <wp:docPr id="20" name="Picture 20"/>
            <wp:cNvGraphicFramePr>
              <a:graphicFrameLocks noChangeAspect="1"/>
            </wp:cNvGraphicFramePr>
            <a:graphic>
              <a:graphicData uri="http://schemas.openxmlformats.org/drawingml/2006/picture">
                <pic:pic>
                  <pic:nvPicPr>
                    <pic:cNvPr id="0" name="3.3_inspect.png"/>
                    <pic:cNvPicPr/>
                  </pic:nvPicPr>
                  <pic:blipFill>
                    <a:blip r:embed="rId29"/>
                    <a:stretch>
                      <a:fillRect/>
                    </a:stretch>
                  </pic:blipFill>
                  <pic:spPr>
                    <a:xfrm>
                      <a:off x="0" y="0"/>
                      <a:ext cx="6120000" cy="2967466"/>
                    </a:xfrm>
                    <a:prstGeom prst="rect"/>
                  </pic:spPr>
                </pic:pic>
              </a:graphicData>
            </a:graphic>
          </wp:inline>
        </w:drawing>
      </w:r>
    </w:p>
    <w:p>
      <w:pPr>
        <w:jc w:val="center"/>
      </w:pPr>
      <w:r>
        <w:rPr>
          <w:b w:val="0"/>
          <w:i/>
          <w:sz w:val="18"/>
        </w:rPr>
        <w:t>Figure 20. Account 998 traced to its owner, a device and an outgoing transfer: identical in SQL and Cypher.</w:t>
      </w:r>
    </w:p>
    <w:p>
      <w:r>
        <w:rPr>
          <w:b w:val="0"/>
          <w:i w:val="0"/>
        </w:rPr>
        <w:t>A foreign key stores the other row's key and must be joined at query time; in the graph the same fact is a stored relationship, so accounts.customer_id becomes OWNS and account_devices becomes USED_DEVICE with its interval as properties. If repeated payments between two accounts were collapsed into one edge, each payment's transfer_id, occurred_at and amount_rwf would be lost (or reduced to a count/sum), so Q1 hourly totals, the time-ordered chains of Q5 and the cycles of Q6 could no longer be evaluated.</w:t>
      </w:r>
    </w:p>
    <w:p>
      <w:r>
        <w:br w:type="page"/>
      </w:r>
    </w:p>
    <w:p>
      <w:pPr>
        <w:pStyle w:val="Heading1"/>
      </w:pPr>
      <w:r>
        <w:t>4 Routine business questions</w:t>
      </w:r>
    </w:p>
    <w:p>
      <w:r>
        <w:rPr>
          <w:b w:val="0"/>
          <w:i w:val="0"/>
        </w:rPr>
        <w:t>Review hour: 09:45:00 inclusive to 10:45:00 exclusive CAT on each set's date, converted to epoch seconds in Python. Sets: A 998 (6 Sep), B 147228 (13 Sep), C 206978 (8 Sep), D 237998 (6 Sep), E 144228 (13 Sep), F 203978 (8 Sep).</w:t>
      </w:r>
    </w:p>
    <w:p>
      <w:pPr>
        <w:pStyle w:val="Heading2"/>
      </w:pPr>
      <w:r>
        <w:t>4.1 Q1 Account activity</w:t>
      </w:r>
    </w:p>
    <w:tbl>
      <w:tblPr>
        <w:tblStyle w:val="LightGrid-Accent1"/>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r/>
            <w:r>
              <w:rPr>
                <w:b/>
                <w:sz w:val="18"/>
              </w:rPr>
              <w:t>Set</w:t>
            </w:r>
          </w:p>
        </w:tc>
        <w:tc>
          <w:tcPr>
            <w:tcW w:type="dxa" w:w="1377"/>
          </w:tcPr>
          <w:p>
            <w:r/>
            <w:r>
              <w:rPr>
                <w:b/>
                <w:sz w:val="18"/>
              </w:rPr>
              <w:t>A</w:t>
            </w:r>
          </w:p>
        </w:tc>
        <w:tc>
          <w:tcPr>
            <w:tcW w:type="dxa" w:w="1377"/>
          </w:tcPr>
          <w:p>
            <w:r/>
            <w:r>
              <w:rPr>
                <w:b/>
                <w:sz w:val="18"/>
              </w:rPr>
              <w:t>B</w:t>
            </w:r>
          </w:p>
        </w:tc>
        <w:tc>
          <w:tcPr>
            <w:tcW w:type="dxa" w:w="1377"/>
          </w:tcPr>
          <w:p>
            <w:r/>
            <w:r>
              <w:rPr>
                <w:b/>
                <w:sz w:val="18"/>
              </w:rPr>
              <w:t>C</w:t>
            </w:r>
          </w:p>
        </w:tc>
        <w:tc>
          <w:tcPr>
            <w:tcW w:type="dxa" w:w="1377"/>
          </w:tcPr>
          <w:p>
            <w:r/>
            <w:r>
              <w:rPr>
                <w:b/>
                <w:sz w:val="18"/>
              </w:rPr>
              <w:t>D</w:t>
            </w:r>
          </w:p>
        </w:tc>
        <w:tc>
          <w:tcPr>
            <w:tcW w:type="dxa" w:w="1377"/>
          </w:tcPr>
          <w:p>
            <w:r/>
            <w:r>
              <w:rPr>
                <w:b/>
                <w:sz w:val="18"/>
              </w:rPr>
              <w:t>E</w:t>
            </w:r>
          </w:p>
        </w:tc>
        <w:tc>
          <w:tcPr>
            <w:tcW w:type="dxa" w:w="1377"/>
          </w:tcPr>
          <w:p>
            <w:r/>
            <w:r>
              <w:rPr>
                <w:b/>
                <w:sz w:val="18"/>
              </w:rPr>
              <w:t>F</w:t>
            </w:r>
          </w:p>
        </w:tc>
      </w:tr>
      <w:tr>
        <w:tc>
          <w:tcPr>
            <w:tcW w:type="dxa" w:w="1377"/>
          </w:tcPr>
          <w:p>
            <w:r/>
            <w:r>
              <w:rPr>
                <w:sz w:val="18"/>
              </w:rPr>
              <w:t>Count</w:t>
            </w:r>
          </w:p>
        </w:tc>
        <w:tc>
          <w:tcPr>
            <w:tcW w:type="dxa" w:w="1377"/>
          </w:tcPr>
          <w:p>
            <w:r/>
            <w:r>
              <w:rPr>
                <w:sz w:val="18"/>
              </w:rPr>
              <w:t>1</w:t>
            </w:r>
          </w:p>
        </w:tc>
        <w:tc>
          <w:tcPr>
            <w:tcW w:type="dxa" w:w="1377"/>
          </w:tcPr>
          <w:p>
            <w:r/>
            <w:r>
              <w:rPr>
                <w:sz w:val="18"/>
              </w:rPr>
              <w:t>1</w:t>
            </w:r>
          </w:p>
        </w:tc>
        <w:tc>
          <w:tcPr>
            <w:tcW w:type="dxa" w:w="1377"/>
          </w:tcPr>
          <w:p>
            <w:r/>
            <w:r>
              <w:rPr>
                <w:sz w:val="18"/>
              </w:rPr>
              <w:t>1</w:t>
            </w:r>
          </w:p>
        </w:tc>
        <w:tc>
          <w:tcPr>
            <w:tcW w:type="dxa" w:w="1377"/>
          </w:tcPr>
          <w:p>
            <w:r/>
            <w:r>
              <w:rPr>
                <w:sz w:val="18"/>
              </w:rPr>
              <w:t>1</w:t>
            </w:r>
          </w:p>
        </w:tc>
        <w:tc>
          <w:tcPr>
            <w:tcW w:type="dxa" w:w="1377"/>
          </w:tcPr>
          <w:p>
            <w:r/>
            <w:r>
              <w:rPr>
                <w:sz w:val="18"/>
              </w:rPr>
              <w:t>1</w:t>
            </w:r>
          </w:p>
        </w:tc>
        <w:tc>
          <w:tcPr>
            <w:tcW w:type="dxa" w:w="1377"/>
          </w:tcPr>
          <w:p>
            <w:r/>
            <w:r>
              <w:rPr>
                <w:sz w:val="18"/>
              </w:rPr>
              <w:t>1</w:t>
            </w:r>
          </w:p>
        </w:tc>
      </w:tr>
      <w:tr>
        <w:tc>
          <w:tcPr>
            <w:tcW w:type="dxa" w:w="1377"/>
          </w:tcPr>
          <w:p>
            <w:r/>
            <w:r>
              <w:rPr>
                <w:sz w:val="18"/>
              </w:rPr>
              <w:t>Total RWF</w:t>
            </w:r>
          </w:p>
        </w:tc>
        <w:tc>
          <w:tcPr>
            <w:tcW w:type="dxa" w:w="1377"/>
          </w:tcPr>
          <w:p>
            <w:r/>
            <w:r>
              <w:rPr>
                <w:sz w:val="18"/>
              </w:rPr>
              <w:t>200,000</w:t>
            </w:r>
          </w:p>
        </w:tc>
        <w:tc>
          <w:tcPr>
            <w:tcW w:type="dxa" w:w="1377"/>
          </w:tcPr>
          <w:p>
            <w:r/>
            <w:r>
              <w:rPr>
                <w:sz w:val="18"/>
              </w:rPr>
              <w:t>1,050,000</w:t>
            </w:r>
          </w:p>
        </w:tc>
        <w:tc>
          <w:tcPr>
            <w:tcW w:type="dxa" w:w="1377"/>
          </w:tcPr>
          <w:p>
            <w:r/>
            <w:r>
              <w:rPr>
                <w:sz w:val="18"/>
              </w:rPr>
              <w:t>300,000</w:t>
            </w:r>
          </w:p>
        </w:tc>
        <w:tc>
          <w:tcPr>
            <w:tcW w:type="dxa" w:w="1377"/>
          </w:tcPr>
          <w:p>
            <w:r/>
            <w:r>
              <w:rPr>
                <w:sz w:val="18"/>
              </w:rPr>
              <w:t>45,000</w:t>
            </w:r>
          </w:p>
        </w:tc>
        <w:tc>
          <w:tcPr>
            <w:tcW w:type="dxa" w:w="1377"/>
          </w:tcPr>
          <w:p>
            <w:r/>
            <w:r>
              <w:rPr>
                <w:sz w:val="18"/>
              </w:rPr>
              <w:t>40,000</w:t>
            </w:r>
          </w:p>
        </w:tc>
        <w:tc>
          <w:tcPr>
            <w:tcW w:type="dxa" w:w="1377"/>
          </w:tcPr>
          <w:p>
            <w:r/>
            <w:r>
              <w:rPr>
                <w:sz w:val="18"/>
              </w:rPr>
              <w:t>30,000</w:t>
            </w:r>
          </w:p>
        </w:tc>
      </w:tr>
    </w:tbl>
    <w:p/>
    <w:p>
      <w:pPr>
        <w:jc w:val="center"/>
      </w:pPr>
      <w:r>
        <w:drawing>
          <wp:inline xmlns:a="http://schemas.openxmlformats.org/drawingml/2006/main" xmlns:pic="http://schemas.openxmlformats.org/drawingml/2006/picture">
            <wp:extent cx="6120000" cy="1649656"/>
            <wp:docPr id="21" name="Picture 21"/>
            <wp:cNvGraphicFramePr>
              <a:graphicFrameLocks noChangeAspect="1"/>
            </wp:cNvGraphicFramePr>
            <a:graphic>
              <a:graphicData uri="http://schemas.openxmlformats.org/drawingml/2006/picture">
                <pic:pic>
                  <pic:nvPicPr>
                    <pic:cNvPr id="0" name="4.1_q1.png"/>
                    <pic:cNvPicPr/>
                  </pic:nvPicPr>
                  <pic:blipFill>
                    <a:blip r:embed="rId30"/>
                    <a:stretch>
                      <a:fillRect/>
                    </a:stretch>
                  </pic:blipFill>
                  <pic:spPr>
                    <a:xfrm>
                      <a:off x="0" y="0"/>
                      <a:ext cx="6120000" cy="1649656"/>
                    </a:xfrm>
                    <a:prstGeom prst="rect"/>
                  </pic:spPr>
                </pic:pic>
              </a:graphicData>
            </a:graphic>
          </wp:inline>
        </w:drawing>
      </w:r>
    </w:p>
    <w:p>
      <w:pPr>
        <w:jc w:val="center"/>
      </w:pPr>
      <w:r>
        <w:rPr>
          <w:b w:val="0"/>
          <w:i/>
          <w:sz w:val="18"/>
        </w:rPr>
        <w:t>Figure 21. Q1 SQL and Cypher results for all six sets (identical).</w:t>
      </w:r>
    </w:p>
    <w:p>
      <w:r>
        <w:rPr>
          <w:b w:val="0"/>
          <w:i w:val="0"/>
        </w:rPr>
        <w:t>Outgoing value is not a balance: a balance needs the opening balance, all incoming transfers, agent cash-in/out, fees and reversals, which this dataset does not contain. An account can send 1,050,000 RWF it received minutes earlier.</w:t>
      </w:r>
    </w:p>
    <w:p>
      <w:pPr>
        <w:pStyle w:val="Heading2"/>
      </w:pPr>
      <w:r>
        <w:t>4.2 Q2 Daily activity</w:t>
      </w:r>
    </w:p>
    <w:p>
      <w:r>
        <w:rPr>
          <w:b w:val="0"/>
          <w:i w:val="0"/>
        </w:rPr>
        <w:t>30 CAT days; both engines identical; sums reconcile with capture.py (20,003,300 transfers, 231,482,327,870 RWF). Activity runs from 06:00 to 21:59:59 CAT each day.</w:t>
      </w:r>
    </w:p>
    <w:p>
      <w:pPr>
        <w:jc w:val="center"/>
      </w:pPr>
      <w:r>
        <w:drawing>
          <wp:inline xmlns:a="http://schemas.openxmlformats.org/drawingml/2006/main" xmlns:pic="http://schemas.openxmlformats.org/drawingml/2006/picture">
            <wp:extent cx="6120000" cy="3024901"/>
            <wp:docPr id="22" name="Picture 22"/>
            <wp:cNvGraphicFramePr>
              <a:graphicFrameLocks noChangeAspect="1"/>
            </wp:cNvGraphicFramePr>
            <a:graphic>
              <a:graphicData uri="http://schemas.openxmlformats.org/drawingml/2006/picture">
                <pic:pic>
                  <pic:nvPicPr>
                    <pic:cNvPr id="0" name="4.2_q2_results.png"/>
                    <pic:cNvPicPr/>
                  </pic:nvPicPr>
                  <pic:blipFill>
                    <a:blip r:embed="rId31"/>
                    <a:stretch>
                      <a:fillRect/>
                    </a:stretch>
                  </pic:blipFill>
                  <pic:spPr>
                    <a:xfrm>
                      <a:off x="0" y="0"/>
                      <a:ext cx="6120000" cy="3024901"/>
                    </a:xfrm>
                    <a:prstGeom prst="rect"/>
                  </pic:spPr>
                </pic:pic>
              </a:graphicData>
            </a:graphic>
          </wp:inline>
        </w:drawing>
      </w:r>
    </w:p>
    <w:p>
      <w:pPr>
        <w:jc w:val="center"/>
      </w:pPr>
      <w:r>
        <w:rPr>
          <w:b w:val="0"/>
          <w:i/>
          <w:sz w:val="18"/>
        </w:rPr>
        <w:t>Figure 22. Q2 daily counts and totals with reconciliation checks.</w:t>
      </w:r>
    </w:p>
    <w:p>
      <w:pPr>
        <w:jc w:val="center"/>
      </w:pPr>
      <w:r>
        <w:drawing>
          <wp:inline xmlns:a="http://schemas.openxmlformats.org/drawingml/2006/main" xmlns:pic="http://schemas.openxmlformats.org/drawingml/2006/picture">
            <wp:extent cx="6120000" cy="3894545"/>
            <wp:docPr id="23" name="Picture 23"/>
            <wp:cNvGraphicFramePr>
              <a:graphicFrameLocks noChangeAspect="1"/>
            </wp:cNvGraphicFramePr>
            <a:graphic>
              <a:graphicData uri="http://schemas.openxmlformats.org/drawingml/2006/picture">
                <pic:pic>
                  <pic:nvPicPr>
                    <pic:cNvPr id="0" name="q2_daily.png"/>
                    <pic:cNvPicPr/>
                  </pic:nvPicPr>
                  <pic:blipFill>
                    <a:blip r:embed="rId32"/>
                    <a:stretch>
                      <a:fillRect/>
                    </a:stretch>
                  </pic:blipFill>
                  <pic:spPr>
                    <a:xfrm>
                      <a:off x="0" y="0"/>
                      <a:ext cx="6120000" cy="3894545"/>
                    </a:xfrm>
                    <a:prstGeom prst="rect"/>
                  </pic:spPr>
                </pic:pic>
              </a:graphicData>
            </a:graphic>
          </wp:inline>
        </w:drawing>
      </w:r>
    </w:p>
    <w:p>
      <w:pPr>
        <w:jc w:val="center"/>
      </w:pPr>
      <w:r>
        <w:rPr>
          <w:b w:val="0"/>
          <w:i/>
          <w:sz w:val="18"/>
        </w:rPr>
        <w:t>Figure 23. Q2 daily transfer count (thousands) and value (billion RWF).</w:t>
      </w:r>
    </w:p>
    <w:p>
      <w:r>
        <w:rPr>
          <w:b w:val="0"/>
          <w:i w:val="0"/>
        </w:rPr>
        <w:t>Pattern: counts are almost flat (≈666,667 per day), but 6–15 September carry 150–330 extra transfers per day and noticeably higher value (≈7.74–7.86 bn RWF vs ≈7.66–7.70 bn). Transfer value is not provider revenue: revenue comes from fees and commissions that are not recorded, many P2P transfers may be free, and money passing through several wallets is counted at every hop.</w:t>
      </w:r>
    </w:p>
    <w:p>
      <w:r>
        <w:rPr>
          <w:b w:val="0"/>
          <w:i/>
        </w:rPr>
        <w:t>Implementation note: the literal per-row Cypher (datetime() on each of 20 million relationships) took ≈190 s; grouping by the CAT day number first and converting only the 30 keys returns the same rows in 8.8–40 s.</w:t>
      </w:r>
    </w:p>
    <w:p>
      <w:pPr>
        <w:pStyle w:val="Heading2"/>
      </w:pPr>
      <w:r>
        <w:t>4.3 Q3 Shared devices</w:t>
      </w:r>
    </w:p>
    <w:p>
      <w:r>
        <w:rPr>
          <w:b w:val="0"/>
          <w:i w:val="0"/>
        </w:rPr>
        <w:t>Rows per set (identical in both engines): A 4, B 9, C 9, D 4, E 9, F 9.</w:t>
      </w:r>
    </w:p>
    <w:p>
      <w:pPr>
        <w:jc w:val="center"/>
      </w:pPr>
      <w:r>
        <w:drawing>
          <wp:inline xmlns:a="http://schemas.openxmlformats.org/drawingml/2006/main" xmlns:pic="http://schemas.openxmlformats.org/drawingml/2006/picture">
            <wp:extent cx="6120000" cy="3152630"/>
            <wp:docPr id="24" name="Picture 24"/>
            <wp:cNvGraphicFramePr>
              <a:graphicFrameLocks noChangeAspect="1"/>
            </wp:cNvGraphicFramePr>
            <a:graphic>
              <a:graphicData uri="http://schemas.openxmlformats.org/drawingml/2006/picture">
                <pic:pic>
                  <pic:nvPicPr>
                    <pic:cNvPr id="0" name="4.3_q3_0.png"/>
                    <pic:cNvPicPr/>
                  </pic:nvPicPr>
                  <pic:blipFill>
                    <a:blip r:embed="rId33"/>
                    <a:stretch>
                      <a:fillRect/>
                    </a:stretch>
                  </pic:blipFill>
                  <pic:spPr>
                    <a:xfrm>
                      <a:off x="0" y="0"/>
                      <a:ext cx="6120000" cy="3152630"/>
                    </a:xfrm>
                    <a:prstGeom prst="rect"/>
                  </pic:spPr>
                </pic:pic>
              </a:graphicData>
            </a:graphic>
          </wp:inline>
        </w:drawing>
      </w:r>
    </w:p>
    <w:p>
      <w:pPr>
        <w:jc w:val="center"/>
      </w:pPr>
      <w:r>
        <w:rPr>
          <w:b w:val="0"/>
          <w:i/>
          <w:sz w:val="18"/>
        </w:rPr>
        <w:t>Figure 24. Q3 overlapping device use, sets A–C.</w:t>
      </w:r>
    </w:p>
    <w:p>
      <w:pPr>
        <w:jc w:val="center"/>
      </w:pPr>
      <w:r>
        <w:drawing>
          <wp:inline xmlns:a="http://schemas.openxmlformats.org/drawingml/2006/main" xmlns:pic="http://schemas.openxmlformats.org/drawingml/2006/picture">
            <wp:extent cx="6120000" cy="3401418"/>
            <wp:docPr id="25" name="Picture 25"/>
            <wp:cNvGraphicFramePr>
              <a:graphicFrameLocks noChangeAspect="1"/>
            </wp:cNvGraphicFramePr>
            <a:graphic>
              <a:graphicData uri="http://schemas.openxmlformats.org/drawingml/2006/picture">
                <pic:pic>
                  <pic:nvPicPr>
                    <pic:cNvPr id="0" name="4.3_q3_1.png"/>
                    <pic:cNvPicPr/>
                  </pic:nvPicPr>
                  <pic:blipFill>
                    <a:blip r:embed="rId34"/>
                    <a:stretch>
                      <a:fillRect/>
                    </a:stretch>
                  </pic:blipFill>
                  <pic:spPr>
                    <a:xfrm>
                      <a:off x="0" y="0"/>
                      <a:ext cx="6120000" cy="3401418"/>
                    </a:xfrm>
                    <a:prstGeom prst="rect"/>
                  </pic:spPr>
                </pic:pic>
              </a:graphicData>
            </a:graphic>
          </wp:inline>
        </w:drawing>
      </w:r>
    </w:p>
    <w:p>
      <w:pPr>
        <w:jc w:val="center"/>
      </w:pPr>
      <w:r>
        <w:rPr>
          <w:b w:val="0"/>
          <w:i/>
          <w:sz w:val="18"/>
        </w:rPr>
        <w:t>Figure 25. Q3 sets D–F and summary.</w:t>
      </w:r>
    </w:p>
    <w:p>
      <w:r>
        <w:rPr>
          <w:b w:val="0"/>
          <w:i w:val="0"/>
        </w:rPr>
        <w:t>Legitimate sharing: in set B, accounts 147226, 147227, 147229 and 147230 share handset 147226 with 147228 for the whole month, consistent with a household phone; in set A, 220998 shares handset 998 because it is a second wallet of the same customer. Overlap does not prove simultaneous use: intervals [2,7] and [5,11] overlap on days 5–7, but the accounts could have used the phone at different times on those days, and observations do not say which device initiated a payment.</w:t>
      </w:r>
    </w:p>
    <w:p>
      <w:r>
        <w:br w:type="page"/>
      </w:r>
    </w:p>
    <w:p>
      <w:pPr>
        <w:pStyle w:val="Heading1"/>
      </w:pPr>
      <w:r>
        <w:t>5 Connected accounts</w:t>
      </w:r>
    </w:p>
    <w:p>
      <w:pPr>
        <w:pStyle w:val="Heading2"/>
      </w:pPr>
      <w:r>
        <w:t>5.1 Q4 Ownership and device network</w:t>
      </w:r>
    </w:p>
    <w:tbl>
      <w:tblPr>
        <w:tblStyle w:val="LightGrid-Accent1"/>
        <w:tblW w:type="auto" w:w="0"/>
        <w:jc w:val="center"/>
        <w:tblLook w:firstColumn="1" w:firstRow="1" w:lastColumn="0" w:lastRow="0" w:noHBand="0" w:noVBand="1" w:val="04A0"/>
      </w:tblPr>
      <w:tblGrid>
        <w:gridCol w:w="1928"/>
        <w:gridCol w:w="1928"/>
        <w:gridCol w:w="1928"/>
        <w:gridCol w:w="1928"/>
        <w:gridCol w:w="1928"/>
      </w:tblGrid>
      <w:tr>
        <w:tc>
          <w:tcPr>
            <w:tcW w:type="dxa" w:w="1928"/>
          </w:tcPr>
          <w:p>
            <w:r/>
            <w:r>
              <w:rPr>
                <w:b/>
                <w:sz w:val="18"/>
              </w:rPr>
              <w:t>Set</w:t>
            </w:r>
          </w:p>
        </w:tc>
        <w:tc>
          <w:tcPr>
            <w:tcW w:type="dxa" w:w="1928"/>
          </w:tcPr>
          <w:p>
            <w:r/>
            <w:r>
              <w:rPr>
                <w:b/>
                <w:sz w:val="18"/>
              </w:rPr>
              <w:t>4 links</w:t>
            </w:r>
          </w:p>
        </w:tc>
        <w:tc>
          <w:tcPr>
            <w:tcW w:type="dxa" w:w="1928"/>
          </w:tcPr>
          <w:p>
            <w:r/>
            <w:r>
              <w:rPr>
                <w:b/>
                <w:sz w:val="18"/>
              </w:rPr>
              <w:t>6 links</w:t>
            </w:r>
          </w:p>
        </w:tc>
        <w:tc>
          <w:tcPr>
            <w:tcW w:type="dxa" w:w="1928"/>
          </w:tcPr>
          <w:p>
            <w:r/>
            <w:r>
              <w:rPr>
                <w:b/>
                <w:sz w:val="18"/>
              </w:rPr>
              <w:t>8 links</w:t>
            </w:r>
          </w:p>
        </w:tc>
        <w:tc>
          <w:tcPr>
            <w:tcW w:type="dxa" w:w="1928"/>
          </w:tcPr>
          <w:p>
            <w:r/>
            <w:r>
              <w:rPr>
                <w:b/>
                <w:sz w:val="18"/>
              </w:rPr>
              <w:t>10 links</w:t>
            </w:r>
          </w:p>
        </w:tc>
      </w:tr>
      <w:tr>
        <w:tc>
          <w:tcPr>
            <w:tcW w:type="dxa" w:w="1928"/>
          </w:tcPr>
          <w:p>
            <w:r/>
            <w:r>
              <w:rPr>
                <w:sz w:val="18"/>
              </w:rPr>
              <w:t>A</w:t>
            </w:r>
          </w:p>
        </w:tc>
        <w:tc>
          <w:tcPr>
            <w:tcW w:type="dxa" w:w="1928"/>
          </w:tcPr>
          <w:p>
            <w:r/>
            <w:r>
              <w:rPr>
                <w:sz w:val="18"/>
              </w:rPr>
              <w:t>10</w:t>
            </w:r>
          </w:p>
        </w:tc>
        <w:tc>
          <w:tcPr>
            <w:tcW w:type="dxa" w:w="1928"/>
          </w:tcPr>
          <w:p>
            <w:r/>
            <w:r>
              <w:rPr>
                <w:sz w:val="18"/>
              </w:rPr>
              <w:t>43</w:t>
            </w:r>
          </w:p>
        </w:tc>
        <w:tc>
          <w:tcPr>
            <w:tcW w:type="dxa" w:w="1928"/>
          </w:tcPr>
          <w:p>
            <w:r/>
            <w:r>
              <w:rPr>
                <w:sz w:val="18"/>
              </w:rPr>
              <w:t>175</w:t>
            </w:r>
          </w:p>
        </w:tc>
        <w:tc>
          <w:tcPr>
            <w:tcW w:type="dxa" w:w="1928"/>
          </w:tcPr>
          <w:p>
            <w:r/>
            <w:r>
              <w:rPr>
                <w:sz w:val="18"/>
              </w:rPr>
              <w:t>187</w:t>
            </w:r>
          </w:p>
        </w:tc>
      </w:tr>
      <w:tr>
        <w:tc>
          <w:tcPr>
            <w:tcW w:type="dxa" w:w="1928"/>
          </w:tcPr>
          <w:p>
            <w:r/>
            <w:r>
              <w:rPr>
                <w:sz w:val="18"/>
              </w:rPr>
              <w:t>B</w:t>
            </w:r>
          </w:p>
        </w:tc>
        <w:tc>
          <w:tcPr>
            <w:tcW w:type="dxa" w:w="1928"/>
          </w:tcPr>
          <w:p>
            <w:r/>
            <w:r>
              <w:rPr>
                <w:sz w:val="18"/>
              </w:rPr>
              <w:t>46</w:t>
            </w:r>
          </w:p>
        </w:tc>
        <w:tc>
          <w:tcPr>
            <w:tcW w:type="dxa" w:w="1928"/>
          </w:tcPr>
          <w:p>
            <w:r/>
            <w:r>
              <w:rPr>
                <w:sz w:val="18"/>
              </w:rPr>
              <w:t>178</w:t>
            </w:r>
          </w:p>
        </w:tc>
        <w:tc>
          <w:tcPr>
            <w:tcW w:type="dxa" w:w="1928"/>
          </w:tcPr>
          <w:p>
            <w:r/>
            <w:r>
              <w:rPr>
                <w:sz w:val="18"/>
              </w:rPr>
              <w:t>188</w:t>
            </w:r>
          </w:p>
        </w:tc>
        <w:tc>
          <w:tcPr>
            <w:tcW w:type="dxa" w:w="1928"/>
          </w:tcPr>
          <w:p>
            <w:r/>
            <w:r>
              <w:rPr>
                <w:sz w:val="18"/>
              </w:rPr>
              <w:t>228</w:t>
            </w:r>
          </w:p>
        </w:tc>
      </w:tr>
      <w:tr>
        <w:tc>
          <w:tcPr>
            <w:tcW w:type="dxa" w:w="1928"/>
          </w:tcPr>
          <w:p>
            <w:r/>
            <w:r>
              <w:rPr>
                <w:sz w:val="18"/>
              </w:rPr>
              <w:t>C</w:t>
            </w:r>
          </w:p>
        </w:tc>
        <w:tc>
          <w:tcPr>
            <w:tcW w:type="dxa" w:w="1928"/>
          </w:tcPr>
          <w:p>
            <w:r/>
            <w:r>
              <w:rPr>
                <w:sz w:val="18"/>
              </w:rPr>
              <w:t>146</w:t>
            </w:r>
          </w:p>
        </w:tc>
        <w:tc>
          <w:tcPr>
            <w:tcW w:type="dxa" w:w="1928"/>
          </w:tcPr>
          <w:p>
            <w:r/>
            <w:r>
              <w:rPr>
                <w:sz w:val="18"/>
              </w:rPr>
              <w:t>483</w:t>
            </w:r>
          </w:p>
        </w:tc>
        <w:tc>
          <w:tcPr>
            <w:tcW w:type="dxa" w:w="1928"/>
          </w:tcPr>
          <w:p>
            <w:r/>
            <w:r>
              <w:rPr>
                <w:sz w:val="18"/>
              </w:rPr>
              <w:t>832</w:t>
            </w:r>
          </w:p>
        </w:tc>
        <w:tc>
          <w:tcPr>
            <w:tcW w:type="dxa" w:w="1928"/>
          </w:tcPr>
          <w:p>
            <w:r/>
            <w:r>
              <w:rPr>
                <w:sz w:val="18"/>
              </w:rPr>
              <w:t>1,433</w:t>
            </w:r>
          </w:p>
        </w:tc>
      </w:tr>
      <w:tr>
        <w:tc>
          <w:tcPr>
            <w:tcW w:type="dxa" w:w="1928"/>
          </w:tcPr>
          <w:p>
            <w:r/>
            <w:r>
              <w:rPr>
                <w:sz w:val="18"/>
              </w:rPr>
              <w:t>D</w:t>
            </w:r>
          </w:p>
        </w:tc>
        <w:tc>
          <w:tcPr>
            <w:tcW w:type="dxa" w:w="1928"/>
          </w:tcPr>
          <w:p>
            <w:r/>
            <w:r>
              <w:rPr>
                <w:sz w:val="18"/>
              </w:rPr>
              <w:t>10</w:t>
            </w:r>
          </w:p>
        </w:tc>
        <w:tc>
          <w:tcPr>
            <w:tcW w:type="dxa" w:w="1928"/>
          </w:tcPr>
          <w:p>
            <w:r/>
            <w:r>
              <w:rPr>
                <w:sz w:val="18"/>
              </w:rPr>
              <w:t>44</w:t>
            </w:r>
          </w:p>
        </w:tc>
        <w:tc>
          <w:tcPr>
            <w:tcW w:type="dxa" w:w="1928"/>
          </w:tcPr>
          <w:p>
            <w:r/>
            <w:r>
              <w:rPr>
                <w:sz w:val="18"/>
              </w:rPr>
              <w:t>180</w:t>
            </w:r>
          </w:p>
        </w:tc>
        <w:tc>
          <w:tcPr>
            <w:tcW w:type="dxa" w:w="1928"/>
          </w:tcPr>
          <w:p>
            <w:r/>
            <w:r>
              <w:rPr>
                <w:sz w:val="18"/>
              </w:rPr>
              <w:t>192</w:t>
            </w:r>
          </w:p>
        </w:tc>
      </w:tr>
      <w:tr>
        <w:tc>
          <w:tcPr>
            <w:tcW w:type="dxa" w:w="1928"/>
          </w:tcPr>
          <w:p>
            <w:r/>
            <w:r>
              <w:rPr>
                <w:sz w:val="18"/>
              </w:rPr>
              <w:t>E</w:t>
            </w:r>
          </w:p>
        </w:tc>
        <w:tc>
          <w:tcPr>
            <w:tcW w:type="dxa" w:w="1928"/>
          </w:tcPr>
          <w:p>
            <w:r/>
            <w:r>
              <w:rPr>
                <w:sz w:val="18"/>
              </w:rPr>
              <w:t>47</w:t>
            </w:r>
          </w:p>
        </w:tc>
        <w:tc>
          <w:tcPr>
            <w:tcW w:type="dxa" w:w="1928"/>
          </w:tcPr>
          <w:p>
            <w:r/>
            <w:r>
              <w:rPr>
                <w:sz w:val="18"/>
              </w:rPr>
              <w:t>183</w:t>
            </w:r>
          </w:p>
        </w:tc>
        <w:tc>
          <w:tcPr>
            <w:tcW w:type="dxa" w:w="1928"/>
          </w:tcPr>
          <w:p>
            <w:r/>
            <w:r>
              <w:rPr>
                <w:sz w:val="18"/>
              </w:rPr>
              <w:t>193</w:t>
            </w:r>
          </w:p>
        </w:tc>
        <w:tc>
          <w:tcPr>
            <w:tcW w:type="dxa" w:w="1928"/>
          </w:tcPr>
          <w:p>
            <w:r/>
            <w:r>
              <w:rPr>
                <w:sz w:val="18"/>
              </w:rPr>
              <w:t>230</w:t>
            </w:r>
          </w:p>
        </w:tc>
      </w:tr>
      <w:tr>
        <w:tc>
          <w:tcPr>
            <w:tcW w:type="dxa" w:w="1928"/>
          </w:tcPr>
          <w:p>
            <w:r/>
            <w:r>
              <w:rPr>
                <w:sz w:val="18"/>
              </w:rPr>
              <w:t>F</w:t>
            </w:r>
          </w:p>
        </w:tc>
        <w:tc>
          <w:tcPr>
            <w:tcW w:type="dxa" w:w="1928"/>
          </w:tcPr>
          <w:p>
            <w:r/>
            <w:r>
              <w:rPr>
                <w:sz w:val="18"/>
              </w:rPr>
              <w:t>147</w:t>
            </w:r>
          </w:p>
        </w:tc>
        <w:tc>
          <w:tcPr>
            <w:tcW w:type="dxa" w:w="1928"/>
          </w:tcPr>
          <w:p>
            <w:r/>
            <w:r>
              <w:rPr>
                <w:sz w:val="18"/>
              </w:rPr>
              <w:t>488</w:t>
            </w:r>
          </w:p>
        </w:tc>
        <w:tc>
          <w:tcPr>
            <w:tcW w:type="dxa" w:w="1928"/>
          </w:tcPr>
          <w:p>
            <w:r/>
            <w:r>
              <w:rPr>
                <w:sz w:val="18"/>
              </w:rPr>
              <w:t>837</w:t>
            </w:r>
          </w:p>
        </w:tc>
        <w:tc>
          <w:tcPr>
            <w:tcW w:type="dxa" w:w="1928"/>
          </w:tcPr>
          <w:p>
            <w:r/>
            <w:r>
              <w:rPr>
                <w:sz w:val="18"/>
              </w:rPr>
              <w:t>1,426</w:t>
            </w:r>
          </w:p>
        </w:tc>
      </w:tr>
    </w:tbl>
    <w:p/>
    <w:p>
      <w:r>
        <w:rPr>
          <w:b w:val="0"/>
          <w:i w:val="0"/>
        </w:rPr>
        <w:t>24/24 comparisons identical (counts by owner region in the screenshots).</w:t>
      </w:r>
    </w:p>
    <w:p>
      <w:r>
        <w:rPr>
          <w:b w:val="0"/>
          <w:i w:val="0"/>
        </w:rPr>
        <w:t>Prediction from the 4- and 6-link results: networks grew about 3–4× between 4 and 6 links, so we expected a similar 3–4× per two extra links (A ≈ 150 and ≈ 500 at depths 8 and 10; C ≈ 1,600 and ≈ 5,000). The prediction held only partly. A, B, D and E flattened (A 175 then 187) because they run out of new household and replacement phones. C and F kept growing, but more slowly (×1.7 per two links, 1,433 at depth 10), as the public terminals they reach link a large but finite group of accounts.</w:t>
      </w:r>
    </w:p>
    <w:p>
      <w:pPr>
        <w:jc w:val="center"/>
      </w:pPr>
      <w:r>
        <w:drawing>
          <wp:inline xmlns:a="http://schemas.openxmlformats.org/drawingml/2006/main" xmlns:pic="http://schemas.openxmlformats.org/drawingml/2006/picture">
            <wp:extent cx="6120000" cy="3439708"/>
            <wp:docPr id="26" name="Picture 26"/>
            <wp:cNvGraphicFramePr>
              <a:graphicFrameLocks noChangeAspect="1"/>
            </wp:cNvGraphicFramePr>
            <a:graphic>
              <a:graphicData uri="http://schemas.openxmlformats.org/drawingml/2006/picture">
                <pic:pic>
                  <pic:nvPicPr>
                    <pic:cNvPr id="0" name="5.1_q4.png"/>
                    <pic:cNvPicPr/>
                  </pic:nvPicPr>
                  <pic:blipFill>
                    <a:blip r:embed="rId35"/>
                    <a:stretch>
                      <a:fillRect/>
                    </a:stretch>
                  </pic:blipFill>
                  <pic:spPr>
                    <a:xfrm>
                      <a:off x="0" y="0"/>
                      <a:ext cx="6120000" cy="3439708"/>
                    </a:xfrm>
                    <a:prstGeom prst="rect"/>
                  </pic:spPr>
                </pic:pic>
              </a:graphicData>
            </a:graphic>
          </wp:inline>
        </w:drawing>
      </w:r>
    </w:p>
    <w:p>
      <w:pPr>
        <w:jc w:val="center"/>
      </w:pPr>
      <w:r>
        <w:rPr>
          <w:b w:val="0"/>
          <w:i/>
          <w:sz w:val="18"/>
        </w:rPr>
        <w:t>Figure 26. Q4 queries and the 24 comparisons.</w:t>
      </w:r>
    </w:p>
    <w:p>
      <w:pPr>
        <w:jc w:val="center"/>
      </w:pPr>
      <w:r>
        <w:drawing>
          <wp:inline xmlns:a="http://schemas.openxmlformats.org/drawingml/2006/main" xmlns:pic="http://schemas.openxmlformats.org/drawingml/2006/picture">
            <wp:extent cx="6120000" cy="3436517"/>
            <wp:docPr id="27" name="Picture 27"/>
            <wp:cNvGraphicFramePr>
              <a:graphicFrameLocks noChangeAspect="1"/>
            </wp:cNvGraphicFramePr>
            <a:graphic>
              <a:graphicData uri="http://schemas.openxmlformats.org/drawingml/2006/picture">
                <pic:pic>
                  <pic:nvPicPr>
                    <pic:cNvPr id="0" name="5.1_q4_1.png"/>
                    <pic:cNvPicPr/>
                  </pic:nvPicPr>
                  <pic:blipFill>
                    <a:blip r:embed="rId36"/>
                    <a:stretch>
                      <a:fillRect/>
                    </a:stretch>
                  </pic:blipFill>
                  <pic:spPr>
                    <a:xfrm>
                      <a:off x="0" y="0"/>
                      <a:ext cx="6120000" cy="3436517"/>
                    </a:xfrm>
                    <a:prstGeom prst="rect"/>
                  </pic:spPr>
                </pic:pic>
              </a:graphicData>
            </a:graphic>
          </wp:inline>
        </w:drawing>
      </w:r>
    </w:p>
    <w:p>
      <w:pPr>
        <w:jc w:val="center"/>
      </w:pPr>
      <w:r>
        <w:rPr>
          <w:b w:val="0"/>
          <w:i/>
          <w:sz w:val="18"/>
        </w:rPr>
        <w:t>Figure 27. Q4 comparisons (continued) and supporting paths.</w:t>
      </w:r>
    </w:p>
    <w:p>
      <w:pPr>
        <w:jc w:val="center"/>
      </w:pPr>
      <w:r>
        <w:drawing>
          <wp:inline xmlns:a="http://schemas.openxmlformats.org/drawingml/2006/main" xmlns:pic="http://schemas.openxmlformats.org/drawingml/2006/picture">
            <wp:extent cx="6120000" cy="3740000"/>
            <wp:docPr id="28" name="Picture 28"/>
            <wp:cNvGraphicFramePr>
              <a:graphicFrameLocks noChangeAspect="1"/>
            </wp:cNvGraphicFramePr>
            <a:graphic>
              <a:graphicData uri="http://schemas.openxmlformats.org/drawingml/2006/picture">
                <pic:pic>
                  <pic:nvPicPr>
                    <pic:cNvPr id="0" name="q4_depth.png"/>
                    <pic:cNvPicPr/>
                  </pic:nvPicPr>
                  <pic:blipFill>
                    <a:blip r:embed="rId37"/>
                    <a:stretch>
                      <a:fillRect/>
                    </a:stretch>
                  </pic:blipFill>
                  <pic:spPr>
                    <a:xfrm>
                      <a:off x="0" y="0"/>
                      <a:ext cx="6120000" cy="3740000"/>
                    </a:xfrm>
                    <a:prstGeom prst="rect"/>
                  </pic:spPr>
                </pic:pic>
              </a:graphicData>
            </a:graphic>
          </wp:inline>
        </w:drawing>
      </w:r>
    </w:p>
    <w:p>
      <w:pPr>
        <w:jc w:val="center"/>
      </w:pPr>
      <w:r>
        <w:rPr>
          <w:b w:val="0"/>
          <w:i/>
          <w:sz w:val="18"/>
        </w:rPr>
        <w:t>Figure 28. Q4 distinct accounts reached against depth (log scale).</w:t>
      </w:r>
    </w:p>
    <w:p>
      <w:r>
        <w:rPr>
          <w:b w:val="0"/>
          <w:i w:val="0"/>
        </w:rPr>
        <w:t>Deeper links create weak associations: each hop adds accounts linked only through someone else's phone, an old replacement handset or a public terminal. C and F reach a public terminal (220020, 220170) within 4 links, so they grow to ≈1,430 accounts at 10 links; the 6-link path from 998 reaches account 101752 via a household phone and a replacement handset, with no direct relationship to 998.</w:t>
      </w:r>
    </w:p>
    <w:p>
      <w:pPr>
        <w:pStyle w:val="Heading2"/>
      </w:pPr>
      <w:r>
        <w:t>5.2 Q5 Rapid onward payments</w:t>
      </w:r>
    </w:p>
    <w:p>
      <w:r>
        <w:rPr>
          <w:b w:val="0"/>
          <w:i w:val="0"/>
        </w:rPr>
        <w:t>Matches: A 1, B 1, C 1, D 0, E 0, F 0. Example (A): 20000001 998→8917 10:00:00 200,000 RWF; 20000002 8917→16836 10:00:40 196,000 (98%); 20000003 16836→24755 10:01:20 192,080 (98%).</w:t>
      </w:r>
    </w:p>
    <w:p>
      <w:pPr>
        <w:jc w:val="center"/>
      </w:pPr>
      <w:r>
        <w:drawing>
          <wp:inline xmlns:a="http://schemas.openxmlformats.org/drawingml/2006/main" xmlns:pic="http://schemas.openxmlformats.org/drawingml/2006/picture">
            <wp:extent cx="6120000" cy="3439708"/>
            <wp:docPr id="29" name="Picture 29"/>
            <wp:cNvGraphicFramePr>
              <a:graphicFrameLocks noChangeAspect="1"/>
            </wp:cNvGraphicFramePr>
            <a:graphic>
              <a:graphicData uri="http://schemas.openxmlformats.org/drawingml/2006/picture">
                <pic:pic>
                  <pic:nvPicPr>
                    <pic:cNvPr id="0" name="5.2_q5.png"/>
                    <pic:cNvPicPr/>
                  </pic:nvPicPr>
                  <pic:blipFill>
                    <a:blip r:embed="rId38"/>
                    <a:stretch>
                      <a:fillRect/>
                    </a:stretch>
                  </pic:blipFill>
                  <pic:spPr>
                    <a:xfrm>
                      <a:off x="0" y="0"/>
                      <a:ext cx="6120000" cy="3439708"/>
                    </a:xfrm>
                    <a:prstGeom prst="rect"/>
                  </pic:spPr>
                </pic:pic>
              </a:graphicData>
            </a:graphic>
          </wp:inline>
        </w:drawing>
      </w:r>
    </w:p>
    <w:p>
      <w:pPr>
        <w:jc w:val="center"/>
      </w:pPr>
      <w:r>
        <w:rPr>
          <w:b w:val="0"/>
          <w:i/>
          <w:sz w:val="18"/>
        </w:rPr>
        <w:t>Figure 29. Q5 pair, six counts and the set A chain with IDs, CAT times and amounts.</w:t>
      </w:r>
    </w:p>
    <w:p>
      <w:r>
        <w:rPr>
          <w:b w:val="0"/>
          <w:i w:val="0"/>
        </w:rPr>
        <w:t>This does not prove that the same funds moved: wallet money is fungible, 8917 may have paid from an existing balance, and similar amounts 40 s apart can be coincidence or pre-arranged payments. Balances and the holders' explanations would be needed.</w:t>
      </w:r>
    </w:p>
    <w:p>
      <w:pPr>
        <w:pStyle w:val="Heading2"/>
      </w:pPr>
      <w:r>
        <w:t>5.3 Q6 Circular payments</w:t>
      </w:r>
    </w:p>
    <w:p>
      <w:r>
        <w:rPr>
          <w:b w:val="0"/>
          <w:i w:val="0"/>
        </w:rPr>
        <w:t>Matches: A 1 (4 transfers), C 1 (6 transfers), others 0. Set A: 20000001→20000002→20000003→20000004 back to 998 at 10:02:00, 120 s span, each amount 98% of the previous.</w:t>
      </w:r>
    </w:p>
    <w:p>
      <w:pPr>
        <w:jc w:val="center"/>
      </w:pPr>
      <w:r>
        <w:drawing>
          <wp:inline xmlns:a="http://schemas.openxmlformats.org/drawingml/2006/main" xmlns:pic="http://schemas.openxmlformats.org/drawingml/2006/picture">
            <wp:extent cx="6120000" cy="3439708"/>
            <wp:docPr id="30" name="Picture 30"/>
            <wp:cNvGraphicFramePr>
              <a:graphicFrameLocks noChangeAspect="1"/>
            </wp:cNvGraphicFramePr>
            <a:graphic>
              <a:graphicData uri="http://schemas.openxmlformats.org/drawingml/2006/picture">
                <pic:pic>
                  <pic:nvPicPr>
                    <pic:cNvPr id="0" name="5.3_q6.png"/>
                    <pic:cNvPicPr/>
                  </pic:nvPicPr>
                  <pic:blipFill>
                    <a:blip r:embed="rId39"/>
                    <a:stretch>
                      <a:fillRect/>
                    </a:stretch>
                  </pic:blipFill>
                  <pic:spPr>
                    <a:xfrm>
                      <a:off x="0" y="0"/>
                      <a:ext cx="6120000" cy="3439708"/>
                    </a:xfrm>
                    <a:prstGeom prst="rect"/>
                  </pic:spPr>
                </pic:pic>
              </a:graphicData>
            </a:graphic>
          </wp:inline>
        </w:drawing>
      </w:r>
    </w:p>
    <w:p>
      <w:pPr>
        <w:jc w:val="center"/>
      </w:pPr>
      <w:r>
        <w:rPr>
          <w:b w:val="0"/>
          <w:i/>
          <w:sz w:val="18"/>
        </w:rPr>
        <w:t>Figure 30. Q6 pair, six counts and the set A cycle.</w:t>
      </w:r>
    </w:p>
    <w:p>
      <w:r>
        <w:rPr>
          <w:b w:val="0"/>
          <w:i w:val="0"/>
        </w:rPr>
        <w:t>Further evidence: KYC relationships between the accounts, balances before and after, the device that initiated each payment, similar cycles on other days, and any later cash-out at an agent.</w:t>
      </w:r>
    </w:p>
    <w:p>
      <w:pPr>
        <w:pStyle w:val="Heading2"/>
      </w:pPr>
      <w:r>
        <w:t>5.4 Q7 Shortest transfer connection</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2409"/>
          </w:tcPr>
          <w:p>
            <w:r/>
            <w:r>
              <w:rPr>
                <w:b/>
                <w:sz w:val="18"/>
              </w:rPr>
              <w:t>Set</w:t>
            </w:r>
          </w:p>
        </w:tc>
        <w:tc>
          <w:tcPr>
            <w:tcW w:type="dxa" w:w="2409"/>
          </w:tcPr>
          <w:p>
            <w:r/>
            <w:r>
              <w:rPr>
                <w:b/>
                <w:sz w:val="18"/>
              </w:rPr>
              <w:t>Review → destination</w:t>
            </w:r>
          </w:p>
        </w:tc>
        <w:tc>
          <w:tcPr>
            <w:tcW w:type="dxa" w:w="2409"/>
          </w:tcPr>
          <w:p>
            <w:r/>
            <w:r>
              <w:rPr>
                <w:b/>
                <w:sz w:val="18"/>
              </w:rPr>
              <w:t>≤ 4</w:t>
            </w:r>
          </w:p>
        </w:tc>
        <w:tc>
          <w:tcPr>
            <w:tcW w:type="dxa" w:w="2409"/>
          </w:tcPr>
          <w:p>
            <w:r/>
            <w:r>
              <w:rPr>
                <w:b/>
                <w:sz w:val="18"/>
              </w:rPr>
              <w:t>≤ 6</w:t>
            </w:r>
          </w:p>
        </w:tc>
      </w:tr>
      <w:tr>
        <w:tc>
          <w:tcPr>
            <w:tcW w:type="dxa" w:w="2409"/>
          </w:tcPr>
          <w:p>
            <w:r/>
            <w:r>
              <w:rPr>
                <w:sz w:val="18"/>
              </w:rPr>
              <w:t>A</w:t>
            </w:r>
          </w:p>
        </w:tc>
        <w:tc>
          <w:tcPr>
            <w:tcW w:type="dxa" w:w="2409"/>
          </w:tcPr>
          <w:p>
            <w:r/>
            <w:r>
              <w:rPr>
                <w:sz w:val="18"/>
              </w:rPr>
              <w:t>998 → 24755</w:t>
            </w:r>
          </w:p>
        </w:tc>
        <w:tc>
          <w:tcPr>
            <w:tcW w:type="dxa" w:w="2409"/>
          </w:tcPr>
          <w:p>
            <w:r/>
            <w:r>
              <w:rPr>
                <w:sz w:val="18"/>
              </w:rPr>
              <w:t>3</w:t>
            </w:r>
          </w:p>
        </w:tc>
        <w:tc>
          <w:tcPr>
            <w:tcW w:type="dxa" w:w="2409"/>
          </w:tcPr>
          <w:p>
            <w:r/>
            <w:r>
              <w:rPr>
                <w:sz w:val="18"/>
              </w:rPr>
              <w:t>3</w:t>
            </w:r>
          </w:p>
        </w:tc>
      </w:tr>
      <w:tr>
        <w:tc>
          <w:tcPr>
            <w:tcW w:type="dxa" w:w="2409"/>
          </w:tcPr>
          <w:p>
            <w:r/>
            <w:r>
              <w:rPr>
                <w:sz w:val="18"/>
              </w:rPr>
              <w:t>B</w:t>
            </w:r>
          </w:p>
        </w:tc>
        <w:tc>
          <w:tcPr>
            <w:tcW w:type="dxa" w:w="2409"/>
          </w:tcPr>
          <w:p>
            <w:r/>
            <w:r>
              <w:rPr>
                <w:sz w:val="18"/>
              </w:rPr>
              <w:t>147228 → 186823</w:t>
            </w:r>
          </w:p>
        </w:tc>
        <w:tc>
          <w:tcPr>
            <w:tcW w:type="dxa" w:w="2409"/>
          </w:tcPr>
          <w:p>
            <w:r/>
            <w:r>
              <w:rPr>
                <w:sz w:val="18"/>
              </w:rPr>
              <w:t>none</w:t>
            </w:r>
          </w:p>
        </w:tc>
        <w:tc>
          <w:tcPr>
            <w:tcW w:type="dxa" w:w="2409"/>
          </w:tcPr>
          <w:p>
            <w:r/>
            <w:r>
              <w:rPr>
                <w:sz w:val="18"/>
              </w:rPr>
              <w:t>5</w:t>
            </w:r>
          </w:p>
        </w:tc>
      </w:tr>
      <w:tr>
        <w:tc>
          <w:tcPr>
            <w:tcW w:type="dxa" w:w="2409"/>
          </w:tcPr>
          <w:p>
            <w:r/>
            <w:r>
              <w:rPr>
                <w:sz w:val="18"/>
              </w:rPr>
              <w:t>C</w:t>
            </w:r>
          </w:p>
        </w:tc>
        <w:tc>
          <w:tcPr>
            <w:tcW w:type="dxa" w:w="2409"/>
          </w:tcPr>
          <w:p>
            <w:r/>
            <w:r>
              <w:rPr>
                <w:sz w:val="18"/>
              </w:rPr>
              <w:t>206978 → 6573</w:t>
            </w:r>
          </w:p>
        </w:tc>
        <w:tc>
          <w:tcPr>
            <w:tcW w:type="dxa" w:w="2409"/>
          </w:tcPr>
          <w:p>
            <w:r/>
            <w:r>
              <w:rPr>
                <w:sz w:val="18"/>
              </w:rPr>
              <w:t>none</w:t>
            </w:r>
          </w:p>
        </w:tc>
        <w:tc>
          <w:tcPr>
            <w:tcW w:type="dxa" w:w="2409"/>
          </w:tcPr>
          <w:p>
            <w:r/>
            <w:r>
              <w:rPr>
                <w:sz w:val="18"/>
              </w:rPr>
              <w:t>5</w:t>
            </w:r>
          </w:p>
        </w:tc>
      </w:tr>
      <w:tr>
        <w:tc>
          <w:tcPr>
            <w:tcW w:type="dxa" w:w="2409"/>
          </w:tcPr>
          <w:p>
            <w:r/>
            <w:r>
              <w:rPr>
                <w:sz w:val="18"/>
              </w:rPr>
              <w:t>D</w:t>
            </w:r>
          </w:p>
        </w:tc>
        <w:tc>
          <w:tcPr>
            <w:tcW w:type="dxa" w:w="2409"/>
          </w:tcPr>
          <w:p>
            <w:r/>
            <w:r>
              <w:rPr>
                <w:sz w:val="18"/>
              </w:rPr>
              <w:t>237998 → 21755</w:t>
            </w:r>
          </w:p>
        </w:tc>
        <w:tc>
          <w:tcPr>
            <w:tcW w:type="dxa" w:w="2409"/>
          </w:tcPr>
          <w:p>
            <w:r/>
            <w:r>
              <w:rPr>
                <w:sz w:val="18"/>
              </w:rPr>
              <w:t>3</w:t>
            </w:r>
          </w:p>
        </w:tc>
        <w:tc>
          <w:tcPr>
            <w:tcW w:type="dxa" w:w="2409"/>
          </w:tcPr>
          <w:p>
            <w:r/>
            <w:r>
              <w:rPr>
                <w:sz w:val="18"/>
              </w:rPr>
              <w:t>3</w:t>
            </w:r>
          </w:p>
        </w:tc>
      </w:tr>
      <w:tr>
        <w:tc>
          <w:tcPr>
            <w:tcW w:type="dxa" w:w="2409"/>
          </w:tcPr>
          <w:p>
            <w:r/>
            <w:r>
              <w:rPr>
                <w:sz w:val="18"/>
              </w:rPr>
              <w:t>E</w:t>
            </w:r>
          </w:p>
        </w:tc>
        <w:tc>
          <w:tcPr>
            <w:tcW w:type="dxa" w:w="2409"/>
          </w:tcPr>
          <w:p>
            <w:r/>
            <w:r>
              <w:rPr>
                <w:sz w:val="18"/>
              </w:rPr>
              <w:t>144228 → 183823</w:t>
            </w:r>
          </w:p>
        </w:tc>
        <w:tc>
          <w:tcPr>
            <w:tcW w:type="dxa" w:w="2409"/>
          </w:tcPr>
          <w:p>
            <w:r/>
            <w:r>
              <w:rPr>
                <w:sz w:val="18"/>
              </w:rPr>
              <w:t>none</w:t>
            </w:r>
          </w:p>
        </w:tc>
        <w:tc>
          <w:tcPr>
            <w:tcW w:type="dxa" w:w="2409"/>
          </w:tcPr>
          <w:p>
            <w:r/>
            <w:r>
              <w:rPr>
                <w:sz w:val="18"/>
              </w:rPr>
              <w:t>5</w:t>
            </w:r>
          </w:p>
        </w:tc>
      </w:tr>
      <w:tr>
        <w:tc>
          <w:tcPr>
            <w:tcW w:type="dxa" w:w="2409"/>
          </w:tcPr>
          <w:p>
            <w:r/>
            <w:r>
              <w:rPr>
                <w:sz w:val="18"/>
              </w:rPr>
              <w:t>F</w:t>
            </w:r>
          </w:p>
        </w:tc>
        <w:tc>
          <w:tcPr>
            <w:tcW w:type="dxa" w:w="2409"/>
          </w:tcPr>
          <w:p>
            <w:r/>
            <w:r>
              <w:rPr>
                <w:sz w:val="18"/>
              </w:rPr>
              <w:t>203978 → 3573</w:t>
            </w:r>
          </w:p>
        </w:tc>
        <w:tc>
          <w:tcPr>
            <w:tcW w:type="dxa" w:w="2409"/>
          </w:tcPr>
          <w:p>
            <w:r/>
            <w:r>
              <w:rPr>
                <w:sz w:val="18"/>
              </w:rPr>
              <w:t>none</w:t>
            </w:r>
          </w:p>
        </w:tc>
        <w:tc>
          <w:tcPr>
            <w:tcW w:type="dxa" w:w="2409"/>
          </w:tcPr>
          <w:p>
            <w:r/>
            <w:r>
              <w:rPr>
                <w:sz w:val="18"/>
              </w:rPr>
              <w:t>5</w:t>
            </w:r>
          </w:p>
        </w:tc>
      </w:tr>
    </w:tbl>
    <w:p/>
    <w:p>
      <w:pPr>
        <w:jc w:val="center"/>
      </w:pPr>
      <w:r>
        <w:drawing>
          <wp:inline xmlns:a="http://schemas.openxmlformats.org/drawingml/2006/main" xmlns:pic="http://schemas.openxmlformats.org/drawingml/2006/picture">
            <wp:extent cx="6120000" cy="3066382"/>
            <wp:docPr id="31" name="Picture 31"/>
            <wp:cNvGraphicFramePr>
              <a:graphicFrameLocks noChangeAspect="1"/>
            </wp:cNvGraphicFramePr>
            <a:graphic>
              <a:graphicData uri="http://schemas.openxmlformats.org/drawingml/2006/picture">
                <pic:pic>
                  <pic:nvPicPr>
                    <pic:cNvPr id="0" name="5.4_q7.png"/>
                    <pic:cNvPicPr/>
                  </pic:nvPicPr>
                  <pic:blipFill>
                    <a:blip r:embed="rId40"/>
                    <a:stretch>
                      <a:fillRect/>
                    </a:stretch>
                  </pic:blipFill>
                  <pic:spPr>
                    <a:xfrm>
                      <a:off x="0" y="0"/>
                      <a:ext cx="6120000" cy="3066382"/>
                    </a:xfrm>
                    <a:prstGeom prst="rect"/>
                  </pic:spPr>
                </pic:pic>
              </a:graphicData>
            </a:graphic>
          </wp:inline>
        </w:drawing>
      </w:r>
    </w:p>
    <w:p>
      <w:pPr>
        <w:jc w:val="center"/>
      </w:pPr>
      <w:r>
        <w:rPr>
          <w:b w:val="0"/>
          <w:i/>
          <w:sz w:val="18"/>
        </w:rPr>
        <w:t>Figure 31. Q7 pair and the 12 length comparisons.</w:t>
      </w:r>
    </w:p>
    <w:p>
      <w:pPr>
        <w:jc w:val="center"/>
      </w:pPr>
      <w:r>
        <w:drawing>
          <wp:inline xmlns:a="http://schemas.openxmlformats.org/drawingml/2006/main" xmlns:pic="http://schemas.openxmlformats.org/drawingml/2006/picture">
            <wp:extent cx="6120000" cy="3225923"/>
            <wp:docPr id="32" name="Picture 32"/>
            <wp:cNvGraphicFramePr>
              <a:graphicFrameLocks noChangeAspect="1"/>
            </wp:cNvGraphicFramePr>
            <a:graphic>
              <a:graphicData uri="http://schemas.openxmlformats.org/drawingml/2006/picture">
                <pic:pic>
                  <pic:nvPicPr>
                    <pic:cNvPr id="0" name="5.4_q7_1.png"/>
                    <pic:cNvPicPr/>
                  </pic:nvPicPr>
                  <pic:blipFill>
                    <a:blip r:embed="rId41"/>
                    <a:stretch>
                      <a:fillRect/>
                    </a:stretch>
                  </pic:blipFill>
                  <pic:spPr>
                    <a:xfrm>
                      <a:off x="0" y="0"/>
                      <a:ext cx="6120000" cy="3225923"/>
                    </a:xfrm>
                    <a:prstGeom prst="rect"/>
                  </pic:spPr>
                </pic:pic>
              </a:graphicData>
            </a:graphic>
          </wp:inline>
        </w:drawing>
      </w:r>
    </w:p>
    <w:p>
      <w:pPr>
        <w:jc w:val="center"/>
      </w:pPr>
      <w:r>
        <w:rPr>
          <w:b w:val="0"/>
          <w:i/>
          <w:sz w:val="18"/>
        </w:rPr>
        <w:t>Figure 32. Q7 supporting paths verified in PostgreSQL (IDs, direction, roles, existence, length).</w:t>
      </w:r>
    </w:p>
    <w:p>
      <w:r>
        <w:rPr>
          <w:b w:val="0"/>
          <w:i w:val="0"/>
        </w:rPr>
        <w:t>No route within four transfers is not evidence of no connection: B, C, E and F connect in five, and accounts may also be linked via merchants/agents (excluded), cash, other providers or other months. A structural route need not show onward movement: the B route's transfers fall on 18, 23, 29, 25 and 13 September and range from 4,700 to 968,486 RWF, so money from 147228 cannot have flowed along it.</w:t>
      </w:r>
    </w:p>
    <w:p>
      <w:r>
        <w:br w:type="page"/>
      </w:r>
    </w:p>
    <w:p>
      <w:pPr>
        <w:pStyle w:val="Heading1"/>
      </w:pPr>
      <w:r>
        <w:t>6 Correctness and performance</w:t>
      </w:r>
    </w:p>
    <w:p>
      <w:pPr>
        <w:pStyle w:val="Heading2"/>
      </w:pPr>
      <w:r>
        <w:t>6.1 One comparison program</w:t>
      </w:r>
    </w:p>
    <w:p>
      <w:r>
        <w:rPr>
          <w:b w:val="0"/>
          <w:i w:val="0"/>
        </w:rPr>
        <w:t xml:space="preserve">compare_61.py uses run_pg(query, params) and run_neo(query, params) over persistent connections, normalizes integers, sorts rows and compares exactly. </w:t>
      </w:r>
      <w:r>
        <w:rPr>
          <w:b/>
          <w:i w:val="0"/>
        </w:rPr>
        <w:t>61/61 cases match</w:t>
      </w:r>
      <w:r>
        <w:rPr>
          <w:b w:val="0"/>
          <w:i w:val="0"/>
        </w:rPr>
        <w:t xml:space="preserve"> (Q1 6, Q2 1, Q3 6, Q4 24, Q5 6, Q6 6, Q7 12); Q7 lengths are compared separately and all 8 supporting paths are valid. Independent Python checks on the CSVs: the Q3 overlap of 998 and 8917 on device 228001 = [0,29]; the Q6 cycle 20000001–20000004 satisfies every rule. No mismatches had to be resolved.</w:t>
      </w:r>
    </w:p>
    <w:p>
      <w:pPr>
        <w:jc w:val="center"/>
      </w:pPr>
      <w:r>
        <w:drawing>
          <wp:inline xmlns:a="http://schemas.openxmlformats.org/drawingml/2006/main" xmlns:pic="http://schemas.openxmlformats.org/drawingml/2006/picture">
            <wp:extent cx="6120000" cy="3443298"/>
            <wp:docPr id="33" name="Picture 33"/>
            <wp:cNvGraphicFramePr>
              <a:graphicFrameLocks noChangeAspect="1"/>
            </wp:cNvGraphicFramePr>
            <a:graphic>
              <a:graphicData uri="http://schemas.openxmlformats.org/drawingml/2006/picture">
                <pic:pic>
                  <pic:nvPicPr>
                    <pic:cNvPr id="0" name="6.1_cases.png"/>
                    <pic:cNvPicPr/>
                  </pic:nvPicPr>
                  <pic:blipFill>
                    <a:blip r:embed="rId42"/>
                    <a:stretch>
                      <a:fillRect/>
                    </a:stretch>
                  </pic:blipFill>
                  <pic:spPr>
                    <a:xfrm>
                      <a:off x="0" y="0"/>
                      <a:ext cx="6120000" cy="3443298"/>
                    </a:xfrm>
                    <a:prstGeom prst="rect"/>
                  </pic:spPr>
                </pic:pic>
              </a:graphicData>
            </a:graphic>
          </wp:inline>
        </w:drawing>
      </w:r>
    </w:p>
    <w:p>
      <w:pPr>
        <w:jc w:val="center"/>
      </w:pPr>
      <w:r>
        <w:rPr>
          <w:b w:val="0"/>
          <w:i/>
          <w:sz w:val="18"/>
        </w:rPr>
        <w:t>Figure 33. 61-case status table.</w:t>
      </w:r>
    </w:p>
    <w:p>
      <w:pPr>
        <w:jc w:val="center"/>
      </w:pPr>
      <w:r>
        <w:drawing>
          <wp:inline xmlns:a="http://schemas.openxmlformats.org/drawingml/2006/main" xmlns:pic="http://schemas.openxmlformats.org/drawingml/2006/picture">
            <wp:extent cx="6120000" cy="3439708"/>
            <wp:docPr id="34" name="Picture 34"/>
            <wp:cNvGraphicFramePr>
              <a:graphicFrameLocks noChangeAspect="1"/>
            </wp:cNvGraphicFramePr>
            <a:graphic>
              <a:graphicData uri="http://schemas.openxmlformats.org/drawingml/2006/picture">
                <pic:pic>
                  <pic:nvPicPr>
                    <pic:cNvPr id="0" name="6.1_compare.png"/>
                    <pic:cNvPicPr/>
                  </pic:nvPicPr>
                  <pic:blipFill>
                    <a:blip r:embed="rId43"/>
                    <a:stretch>
                      <a:fillRect/>
                    </a:stretch>
                  </pic:blipFill>
                  <pic:spPr>
                    <a:xfrm>
                      <a:off x="0" y="0"/>
                      <a:ext cx="6120000" cy="3439708"/>
                    </a:xfrm>
                    <a:prstGeom prst="rect"/>
                  </pic:spPr>
                </pic:pic>
              </a:graphicData>
            </a:graphic>
          </wp:inline>
        </w:drawing>
      </w:r>
    </w:p>
    <w:p>
      <w:pPr>
        <w:jc w:val="center"/>
      </w:pPr>
      <w:r>
        <w:rPr>
          <w:b w:val="0"/>
          <w:i/>
          <w:sz w:val="18"/>
        </w:rPr>
        <w:t>Figure 34. Per-question summary and the two independent CSV checks.</w:t>
      </w:r>
    </w:p>
    <w:p>
      <w:pPr>
        <w:pStyle w:val="Heading2"/>
      </w:pPr>
      <w:r>
        <w:t>6.2 Timing a fixed selection</w:t>
      </w:r>
    </w:p>
    <w:p>
      <w:r>
        <w:rPr>
          <w:b w:val="0"/>
          <w:i w:val="0"/>
        </w:rPr>
        <w:t>One service at a time, persistent connections, fixed memory settings; 3 untimed warm-ups (180 s) and 5 measured runs (60 s) per case, perf_counter from submission to the final row; errors and timeouts recorded separately.</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1474"/>
          </w:tcPr>
          <w:p>
            <w:r/>
            <w:r>
              <w:rPr>
                <w:b/>
                <w:sz w:val="17"/>
              </w:rPr>
              <w:t>Case</w:t>
            </w:r>
          </w:p>
        </w:tc>
        <w:tc>
          <w:tcPr>
            <w:tcW w:type="dxa" w:w="3175"/>
          </w:tcPr>
          <w:p>
            <w:r/>
            <w:r>
              <w:rPr>
                <w:b/>
                <w:sz w:val="17"/>
              </w:rPr>
              <w:t>PostgreSQL median (min–max) ms</w:t>
            </w:r>
          </w:p>
        </w:tc>
        <w:tc>
          <w:tcPr>
            <w:tcW w:type="dxa" w:w="3175"/>
          </w:tcPr>
          <w:p>
            <w:r/>
            <w:r>
              <w:rPr>
                <w:b/>
                <w:sz w:val="17"/>
              </w:rPr>
              <w:t>Neo4j median (min–max) ms</w:t>
            </w:r>
          </w:p>
        </w:tc>
        <w:tc>
          <w:tcPr>
            <w:tcW w:type="dxa" w:w="1247"/>
          </w:tcPr>
          <w:p>
            <w:r/>
            <w:r>
              <w:rPr>
                <w:b/>
                <w:sz w:val="17"/>
              </w:rPr>
              <w:t>PG/Neo</w:t>
            </w:r>
          </w:p>
        </w:tc>
      </w:tr>
      <w:tr>
        <w:tc>
          <w:tcPr>
            <w:tcW w:type="dxa" w:w="1474"/>
          </w:tcPr>
          <w:p>
            <w:r/>
            <w:r>
              <w:rPr>
                <w:sz w:val="17"/>
              </w:rPr>
              <w:t>Q1-B</w:t>
            </w:r>
          </w:p>
        </w:tc>
        <w:tc>
          <w:tcPr>
            <w:tcW w:type="dxa" w:w="3175"/>
          </w:tcPr>
          <w:p>
            <w:r/>
            <w:r>
              <w:rPr>
                <w:sz w:val="17"/>
              </w:rPr>
              <w:t>1.2 (0.8–1.5)</w:t>
            </w:r>
          </w:p>
        </w:tc>
        <w:tc>
          <w:tcPr>
            <w:tcW w:type="dxa" w:w="3175"/>
          </w:tcPr>
          <w:p>
            <w:r/>
            <w:r>
              <w:rPr>
                <w:sz w:val="17"/>
              </w:rPr>
              <w:t>8.4 (7.9–9.6)</w:t>
            </w:r>
          </w:p>
        </w:tc>
        <w:tc>
          <w:tcPr>
            <w:tcW w:type="dxa" w:w="1247"/>
          </w:tcPr>
          <w:p>
            <w:r/>
            <w:r>
              <w:rPr>
                <w:sz w:val="17"/>
              </w:rPr>
              <w:t>0.14</w:t>
            </w:r>
          </w:p>
        </w:tc>
      </w:tr>
      <w:tr>
        <w:tc>
          <w:tcPr>
            <w:tcW w:type="dxa" w:w="1474"/>
          </w:tcPr>
          <w:p>
            <w:r/>
            <w:r>
              <w:rPr>
                <w:sz w:val="17"/>
              </w:rPr>
              <w:t>Q1-E</w:t>
            </w:r>
          </w:p>
        </w:tc>
        <w:tc>
          <w:tcPr>
            <w:tcW w:type="dxa" w:w="3175"/>
          </w:tcPr>
          <w:p>
            <w:r/>
            <w:r>
              <w:rPr>
                <w:sz w:val="17"/>
              </w:rPr>
              <w:t>0.5 (0.5–0.6)</w:t>
            </w:r>
          </w:p>
        </w:tc>
        <w:tc>
          <w:tcPr>
            <w:tcW w:type="dxa" w:w="3175"/>
          </w:tcPr>
          <w:p>
            <w:r/>
            <w:r>
              <w:rPr>
                <w:sz w:val="17"/>
              </w:rPr>
              <w:t>7.9 (6.9–8.5)</w:t>
            </w:r>
          </w:p>
        </w:tc>
        <w:tc>
          <w:tcPr>
            <w:tcW w:type="dxa" w:w="1247"/>
          </w:tcPr>
          <w:p>
            <w:r/>
            <w:r>
              <w:rPr>
                <w:sz w:val="17"/>
              </w:rPr>
              <w:t>0.06</w:t>
            </w:r>
          </w:p>
        </w:tc>
      </w:tr>
      <w:tr>
        <w:tc>
          <w:tcPr>
            <w:tcW w:type="dxa" w:w="1474"/>
          </w:tcPr>
          <w:p>
            <w:r/>
            <w:r>
              <w:rPr>
                <w:sz w:val="17"/>
              </w:rPr>
              <w:t>Q3-B</w:t>
            </w:r>
          </w:p>
        </w:tc>
        <w:tc>
          <w:tcPr>
            <w:tcW w:type="dxa" w:w="3175"/>
          </w:tcPr>
          <w:p>
            <w:r/>
            <w:r>
              <w:rPr>
                <w:sz w:val="17"/>
              </w:rPr>
              <w:t>1.4 (1.4–1.5)</w:t>
            </w:r>
          </w:p>
        </w:tc>
        <w:tc>
          <w:tcPr>
            <w:tcW w:type="dxa" w:w="3175"/>
          </w:tcPr>
          <w:p>
            <w:r/>
            <w:r>
              <w:rPr>
                <w:sz w:val="17"/>
              </w:rPr>
              <w:t>7.5 (6.3–8.3)</w:t>
            </w:r>
          </w:p>
        </w:tc>
        <w:tc>
          <w:tcPr>
            <w:tcW w:type="dxa" w:w="1247"/>
          </w:tcPr>
          <w:p>
            <w:r/>
            <w:r>
              <w:rPr>
                <w:sz w:val="17"/>
              </w:rPr>
              <w:t>0.19</w:t>
            </w:r>
          </w:p>
        </w:tc>
      </w:tr>
      <w:tr>
        <w:tc>
          <w:tcPr>
            <w:tcW w:type="dxa" w:w="1474"/>
          </w:tcPr>
          <w:p>
            <w:r/>
            <w:r>
              <w:rPr>
                <w:sz w:val="17"/>
              </w:rPr>
              <w:t>Q3-E</w:t>
            </w:r>
          </w:p>
        </w:tc>
        <w:tc>
          <w:tcPr>
            <w:tcW w:type="dxa" w:w="3175"/>
          </w:tcPr>
          <w:p>
            <w:r/>
            <w:r>
              <w:rPr>
                <w:sz w:val="17"/>
              </w:rPr>
              <w:t>0.5 (0.4–0.5)</w:t>
            </w:r>
          </w:p>
        </w:tc>
        <w:tc>
          <w:tcPr>
            <w:tcW w:type="dxa" w:w="3175"/>
          </w:tcPr>
          <w:p>
            <w:r/>
            <w:r>
              <w:rPr>
                <w:sz w:val="17"/>
              </w:rPr>
              <w:t>8.4 (7.1–10.9)</w:t>
            </w:r>
          </w:p>
        </w:tc>
        <w:tc>
          <w:tcPr>
            <w:tcW w:type="dxa" w:w="1247"/>
          </w:tcPr>
          <w:p>
            <w:r/>
            <w:r>
              <w:rPr>
                <w:sz w:val="17"/>
              </w:rPr>
              <w:t>0.06</w:t>
            </w:r>
          </w:p>
        </w:tc>
      </w:tr>
      <w:tr>
        <w:tc>
          <w:tcPr>
            <w:tcW w:type="dxa" w:w="1474"/>
          </w:tcPr>
          <w:p>
            <w:r/>
            <w:r>
              <w:rPr>
                <w:sz w:val="17"/>
              </w:rPr>
              <w:t>Q5-B</w:t>
            </w:r>
          </w:p>
        </w:tc>
        <w:tc>
          <w:tcPr>
            <w:tcW w:type="dxa" w:w="3175"/>
          </w:tcPr>
          <w:p>
            <w:r/>
            <w:r>
              <w:rPr>
                <w:sz w:val="17"/>
              </w:rPr>
              <w:t>3.2 (2.9–4.1)</w:t>
            </w:r>
          </w:p>
        </w:tc>
        <w:tc>
          <w:tcPr>
            <w:tcW w:type="dxa" w:w="3175"/>
          </w:tcPr>
          <w:p>
            <w:r/>
            <w:r>
              <w:rPr>
                <w:sz w:val="17"/>
              </w:rPr>
              <w:t>6.9 (5.8–7.6)</w:t>
            </w:r>
          </w:p>
        </w:tc>
        <w:tc>
          <w:tcPr>
            <w:tcW w:type="dxa" w:w="1247"/>
          </w:tcPr>
          <w:p>
            <w:r/>
            <w:r>
              <w:rPr>
                <w:sz w:val="17"/>
              </w:rPr>
              <w:t>0.46</w:t>
            </w:r>
          </w:p>
        </w:tc>
      </w:tr>
      <w:tr>
        <w:tc>
          <w:tcPr>
            <w:tcW w:type="dxa" w:w="1474"/>
          </w:tcPr>
          <w:p>
            <w:r/>
            <w:r>
              <w:rPr>
                <w:sz w:val="17"/>
              </w:rPr>
              <w:t>Q5-E</w:t>
            </w:r>
          </w:p>
        </w:tc>
        <w:tc>
          <w:tcPr>
            <w:tcW w:type="dxa" w:w="3175"/>
          </w:tcPr>
          <w:p>
            <w:r/>
            <w:r>
              <w:rPr>
                <w:sz w:val="17"/>
              </w:rPr>
              <w:t>0.4 (0.4–0.6)</w:t>
            </w:r>
          </w:p>
        </w:tc>
        <w:tc>
          <w:tcPr>
            <w:tcW w:type="dxa" w:w="3175"/>
          </w:tcPr>
          <w:p>
            <w:r/>
            <w:r>
              <w:rPr>
                <w:sz w:val="17"/>
              </w:rPr>
              <w:t>6.1 (5.2–7.8)</w:t>
            </w:r>
          </w:p>
        </w:tc>
        <w:tc>
          <w:tcPr>
            <w:tcW w:type="dxa" w:w="1247"/>
          </w:tcPr>
          <w:p>
            <w:r/>
            <w:r>
              <w:rPr>
                <w:sz w:val="17"/>
              </w:rPr>
              <w:t>0.07</w:t>
            </w:r>
          </w:p>
        </w:tc>
      </w:tr>
      <w:tr>
        <w:tc>
          <w:tcPr>
            <w:tcW w:type="dxa" w:w="1474"/>
          </w:tcPr>
          <w:p>
            <w:r/>
            <w:r>
              <w:rPr>
                <w:sz w:val="17"/>
              </w:rPr>
              <w:t>Q6-B</w:t>
            </w:r>
          </w:p>
        </w:tc>
        <w:tc>
          <w:tcPr>
            <w:tcW w:type="dxa" w:w="3175"/>
          </w:tcPr>
          <w:p>
            <w:r/>
            <w:r>
              <w:rPr>
                <w:sz w:val="17"/>
              </w:rPr>
              <w:t>1.3 (1.1–1.7)</w:t>
            </w:r>
          </w:p>
        </w:tc>
        <w:tc>
          <w:tcPr>
            <w:tcW w:type="dxa" w:w="3175"/>
          </w:tcPr>
          <w:p>
            <w:r/>
            <w:r>
              <w:rPr>
                <w:sz w:val="17"/>
              </w:rPr>
              <w:t>6.3 (5.1–6.4)</w:t>
            </w:r>
          </w:p>
        </w:tc>
        <w:tc>
          <w:tcPr>
            <w:tcW w:type="dxa" w:w="1247"/>
          </w:tcPr>
          <w:p>
            <w:r/>
            <w:r>
              <w:rPr>
                <w:sz w:val="17"/>
              </w:rPr>
              <w:t>0.21</w:t>
            </w:r>
          </w:p>
        </w:tc>
      </w:tr>
      <w:tr>
        <w:tc>
          <w:tcPr>
            <w:tcW w:type="dxa" w:w="1474"/>
          </w:tcPr>
          <w:p>
            <w:r/>
            <w:r>
              <w:rPr>
                <w:sz w:val="17"/>
              </w:rPr>
              <w:t>Q6-E</w:t>
            </w:r>
          </w:p>
        </w:tc>
        <w:tc>
          <w:tcPr>
            <w:tcW w:type="dxa" w:w="3175"/>
          </w:tcPr>
          <w:p>
            <w:r/>
            <w:r>
              <w:rPr>
                <w:sz w:val="17"/>
              </w:rPr>
              <w:t>0.5 (0.4–1.2)</w:t>
            </w:r>
          </w:p>
        </w:tc>
        <w:tc>
          <w:tcPr>
            <w:tcW w:type="dxa" w:w="3175"/>
          </w:tcPr>
          <w:p>
            <w:r/>
            <w:r>
              <w:rPr>
                <w:sz w:val="17"/>
              </w:rPr>
              <w:t>5.5 (5.0–5.8)</w:t>
            </w:r>
          </w:p>
        </w:tc>
        <w:tc>
          <w:tcPr>
            <w:tcW w:type="dxa" w:w="1247"/>
          </w:tcPr>
          <w:p>
            <w:r/>
            <w:r>
              <w:rPr>
                <w:sz w:val="17"/>
              </w:rPr>
              <w:t>0.09</w:t>
            </w:r>
          </w:p>
        </w:tc>
      </w:tr>
      <w:tr>
        <w:tc>
          <w:tcPr>
            <w:tcW w:type="dxa" w:w="1474"/>
          </w:tcPr>
          <w:p>
            <w:r/>
            <w:r>
              <w:rPr>
                <w:sz w:val="17"/>
              </w:rPr>
              <w:t>Q2-month</w:t>
            </w:r>
          </w:p>
        </w:tc>
        <w:tc>
          <w:tcPr>
            <w:tcW w:type="dxa" w:w="3175"/>
          </w:tcPr>
          <w:p>
            <w:r/>
            <w:r>
              <w:rPr>
                <w:sz w:val="17"/>
              </w:rPr>
              <w:t>12,508.3 (12,159.2–12,963.0)</w:t>
            </w:r>
          </w:p>
        </w:tc>
        <w:tc>
          <w:tcPr>
            <w:tcW w:type="dxa" w:w="3175"/>
          </w:tcPr>
          <w:p>
            <w:r/>
            <w:r>
              <w:rPr>
                <w:sz w:val="17"/>
              </w:rPr>
              <w:t>8,751.5 (8,655.3–8,926.4)</w:t>
            </w:r>
          </w:p>
        </w:tc>
        <w:tc>
          <w:tcPr>
            <w:tcW w:type="dxa" w:w="1247"/>
          </w:tcPr>
          <w:p>
            <w:r/>
            <w:r>
              <w:rPr>
                <w:sz w:val="17"/>
              </w:rPr>
              <w:t>1.43</w:t>
            </w:r>
          </w:p>
        </w:tc>
      </w:tr>
      <w:tr>
        <w:tc>
          <w:tcPr>
            <w:tcW w:type="dxa" w:w="1474"/>
          </w:tcPr>
          <w:p>
            <w:r/>
            <w:r>
              <w:rPr>
                <w:sz w:val="17"/>
              </w:rPr>
              <w:t>Q4-B-d4</w:t>
            </w:r>
          </w:p>
        </w:tc>
        <w:tc>
          <w:tcPr>
            <w:tcW w:type="dxa" w:w="3175"/>
          </w:tcPr>
          <w:p>
            <w:r/>
            <w:r>
              <w:rPr>
                <w:sz w:val="17"/>
              </w:rPr>
              <w:t>3.0 (2.6–4.1)</w:t>
            </w:r>
          </w:p>
        </w:tc>
        <w:tc>
          <w:tcPr>
            <w:tcW w:type="dxa" w:w="3175"/>
          </w:tcPr>
          <w:p>
            <w:r/>
            <w:r>
              <w:rPr>
                <w:sz w:val="17"/>
              </w:rPr>
              <w:t>6.3 (5.1–6.9)</w:t>
            </w:r>
          </w:p>
        </w:tc>
        <w:tc>
          <w:tcPr>
            <w:tcW w:type="dxa" w:w="1247"/>
          </w:tcPr>
          <w:p>
            <w:r/>
            <w:r>
              <w:rPr>
                <w:sz w:val="17"/>
              </w:rPr>
              <w:t>0.48</w:t>
            </w:r>
          </w:p>
        </w:tc>
      </w:tr>
      <w:tr>
        <w:tc>
          <w:tcPr>
            <w:tcW w:type="dxa" w:w="1474"/>
          </w:tcPr>
          <w:p>
            <w:r/>
            <w:r>
              <w:rPr>
                <w:sz w:val="17"/>
              </w:rPr>
              <w:t>Q4-B-d6</w:t>
            </w:r>
          </w:p>
        </w:tc>
        <w:tc>
          <w:tcPr>
            <w:tcW w:type="dxa" w:w="3175"/>
          </w:tcPr>
          <w:p>
            <w:r/>
            <w:r>
              <w:rPr>
                <w:sz w:val="17"/>
              </w:rPr>
              <w:t>6.1 (6.0–8.6)</w:t>
            </w:r>
          </w:p>
        </w:tc>
        <w:tc>
          <w:tcPr>
            <w:tcW w:type="dxa" w:w="3175"/>
          </w:tcPr>
          <w:p>
            <w:r/>
            <w:r>
              <w:rPr>
                <w:sz w:val="17"/>
              </w:rPr>
              <w:t>7.2 (6.6–7.7)</w:t>
            </w:r>
          </w:p>
        </w:tc>
        <w:tc>
          <w:tcPr>
            <w:tcW w:type="dxa" w:w="1247"/>
          </w:tcPr>
          <w:p>
            <w:r/>
            <w:r>
              <w:rPr>
                <w:sz w:val="17"/>
              </w:rPr>
              <w:t>0.84</w:t>
            </w:r>
          </w:p>
        </w:tc>
      </w:tr>
      <w:tr>
        <w:tc>
          <w:tcPr>
            <w:tcW w:type="dxa" w:w="1474"/>
          </w:tcPr>
          <w:p>
            <w:r/>
            <w:r>
              <w:rPr>
                <w:sz w:val="17"/>
              </w:rPr>
              <w:t>Q4-B-d8</w:t>
            </w:r>
          </w:p>
        </w:tc>
        <w:tc>
          <w:tcPr>
            <w:tcW w:type="dxa" w:w="3175"/>
          </w:tcPr>
          <w:p>
            <w:r/>
            <w:r>
              <w:rPr>
                <w:sz w:val="17"/>
              </w:rPr>
              <w:t>11.7 (6.7–17.1)</w:t>
            </w:r>
          </w:p>
        </w:tc>
        <w:tc>
          <w:tcPr>
            <w:tcW w:type="dxa" w:w="3175"/>
          </w:tcPr>
          <w:p>
            <w:r/>
            <w:r>
              <w:rPr>
                <w:sz w:val="17"/>
              </w:rPr>
              <w:t>7.3 (6.8–7.9)</w:t>
            </w:r>
          </w:p>
        </w:tc>
        <w:tc>
          <w:tcPr>
            <w:tcW w:type="dxa" w:w="1247"/>
          </w:tcPr>
          <w:p>
            <w:r/>
            <w:r>
              <w:rPr>
                <w:sz w:val="17"/>
              </w:rPr>
              <w:t>1.60</w:t>
            </w:r>
          </w:p>
        </w:tc>
      </w:tr>
      <w:tr>
        <w:tc>
          <w:tcPr>
            <w:tcW w:type="dxa" w:w="1474"/>
          </w:tcPr>
          <w:p>
            <w:r/>
            <w:r>
              <w:rPr>
                <w:sz w:val="17"/>
              </w:rPr>
              <w:t>Q4-B-d10</w:t>
            </w:r>
          </w:p>
        </w:tc>
        <w:tc>
          <w:tcPr>
            <w:tcW w:type="dxa" w:w="3175"/>
          </w:tcPr>
          <w:p>
            <w:r/>
            <w:r>
              <w:rPr>
                <w:sz w:val="17"/>
              </w:rPr>
              <w:t>23.0 (20.5–26.4)</w:t>
            </w:r>
          </w:p>
        </w:tc>
        <w:tc>
          <w:tcPr>
            <w:tcW w:type="dxa" w:w="3175"/>
          </w:tcPr>
          <w:p>
            <w:r/>
            <w:r>
              <w:rPr>
                <w:sz w:val="17"/>
              </w:rPr>
              <w:t>6.2 (4.7–23.6)</w:t>
            </w:r>
          </w:p>
        </w:tc>
        <w:tc>
          <w:tcPr>
            <w:tcW w:type="dxa" w:w="1247"/>
          </w:tcPr>
          <w:p>
            <w:r/>
            <w:r>
              <w:rPr>
                <w:sz w:val="17"/>
              </w:rPr>
              <w:t>3.69</w:t>
            </w:r>
          </w:p>
        </w:tc>
      </w:tr>
      <w:tr>
        <w:tc>
          <w:tcPr>
            <w:tcW w:type="dxa" w:w="1474"/>
          </w:tcPr>
          <w:p>
            <w:r/>
            <w:r>
              <w:rPr>
                <w:sz w:val="17"/>
              </w:rPr>
              <w:t>Q4-E-d4</w:t>
            </w:r>
          </w:p>
        </w:tc>
        <w:tc>
          <w:tcPr>
            <w:tcW w:type="dxa" w:w="3175"/>
          </w:tcPr>
          <w:p>
            <w:r/>
            <w:r>
              <w:rPr>
                <w:sz w:val="17"/>
              </w:rPr>
              <w:t>2.0 (2.0–3.0)</w:t>
            </w:r>
          </w:p>
        </w:tc>
        <w:tc>
          <w:tcPr>
            <w:tcW w:type="dxa" w:w="3175"/>
          </w:tcPr>
          <w:p>
            <w:r/>
            <w:r>
              <w:rPr>
                <w:sz w:val="17"/>
              </w:rPr>
              <w:t>3.9 (3.5–4.5)</w:t>
            </w:r>
          </w:p>
        </w:tc>
        <w:tc>
          <w:tcPr>
            <w:tcW w:type="dxa" w:w="1247"/>
          </w:tcPr>
          <w:p>
            <w:r/>
            <w:r>
              <w:rPr>
                <w:sz w:val="17"/>
              </w:rPr>
              <w:t>0.50</w:t>
            </w:r>
          </w:p>
        </w:tc>
      </w:tr>
      <w:tr>
        <w:tc>
          <w:tcPr>
            <w:tcW w:type="dxa" w:w="1474"/>
          </w:tcPr>
          <w:p>
            <w:r/>
            <w:r>
              <w:rPr>
                <w:sz w:val="17"/>
              </w:rPr>
              <w:t>Q4-E-d6</w:t>
            </w:r>
          </w:p>
        </w:tc>
        <w:tc>
          <w:tcPr>
            <w:tcW w:type="dxa" w:w="3175"/>
          </w:tcPr>
          <w:p>
            <w:r/>
            <w:r>
              <w:rPr>
                <w:sz w:val="17"/>
              </w:rPr>
              <w:t>5.8 (5.6–6.5)</w:t>
            </w:r>
          </w:p>
        </w:tc>
        <w:tc>
          <w:tcPr>
            <w:tcW w:type="dxa" w:w="3175"/>
          </w:tcPr>
          <w:p>
            <w:r/>
            <w:r>
              <w:rPr>
                <w:sz w:val="17"/>
              </w:rPr>
              <w:t>4.9 (4.6–5.3)</w:t>
            </w:r>
          </w:p>
        </w:tc>
        <w:tc>
          <w:tcPr>
            <w:tcW w:type="dxa" w:w="1247"/>
          </w:tcPr>
          <w:p>
            <w:r/>
            <w:r>
              <w:rPr>
                <w:sz w:val="17"/>
              </w:rPr>
              <w:t>1.19</w:t>
            </w:r>
          </w:p>
        </w:tc>
      </w:tr>
      <w:tr>
        <w:tc>
          <w:tcPr>
            <w:tcW w:type="dxa" w:w="1474"/>
          </w:tcPr>
          <w:p>
            <w:r/>
            <w:r>
              <w:rPr>
                <w:sz w:val="17"/>
              </w:rPr>
              <w:t>Q4-E-d8</w:t>
            </w:r>
          </w:p>
        </w:tc>
        <w:tc>
          <w:tcPr>
            <w:tcW w:type="dxa" w:w="3175"/>
          </w:tcPr>
          <w:p>
            <w:r/>
            <w:r>
              <w:rPr>
                <w:sz w:val="17"/>
              </w:rPr>
              <w:t>7.6 (6.2–13.0)</w:t>
            </w:r>
          </w:p>
        </w:tc>
        <w:tc>
          <w:tcPr>
            <w:tcW w:type="dxa" w:w="3175"/>
          </w:tcPr>
          <w:p>
            <w:r/>
            <w:r>
              <w:rPr>
                <w:sz w:val="17"/>
              </w:rPr>
              <w:t>4.6 (4.0–6.3)</w:t>
            </w:r>
          </w:p>
        </w:tc>
        <w:tc>
          <w:tcPr>
            <w:tcW w:type="dxa" w:w="1247"/>
          </w:tcPr>
          <w:p>
            <w:r/>
            <w:r>
              <w:rPr>
                <w:sz w:val="17"/>
              </w:rPr>
              <w:t>1.67</w:t>
            </w:r>
          </w:p>
        </w:tc>
      </w:tr>
      <w:tr>
        <w:tc>
          <w:tcPr>
            <w:tcW w:type="dxa" w:w="1474"/>
          </w:tcPr>
          <w:p>
            <w:r/>
            <w:r>
              <w:rPr>
                <w:sz w:val="17"/>
              </w:rPr>
              <w:t>Q4-E-d10</w:t>
            </w:r>
          </w:p>
        </w:tc>
        <w:tc>
          <w:tcPr>
            <w:tcW w:type="dxa" w:w="3175"/>
          </w:tcPr>
          <w:p>
            <w:r/>
            <w:r>
              <w:rPr>
                <w:sz w:val="17"/>
              </w:rPr>
              <w:t>23.8 (21.9–27.8)</w:t>
            </w:r>
          </w:p>
        </w:tc>
        <w:tc>
          <w:tcPr>
            <w:tcW w:type="dxa" w:w="3175"/>
          </w:tcPr>
          <w:p>
            <w:r/>
            <w:r>
              <w:rPr>
                <w:sz w:val="17"/>
              </w:rPr>
              <w:t>4.3 (3.8–5.1)</w:t>
            </w:r>
          </w:p>
        </w:tc>
        <w:tc>
          <w:tcPr>
            <w:tcW w:type="dxa" w:w="1247"/>
          </w:tcPr>
          <w:p>
            <w:r/>
            <w:r>
              <w:rPr>
                <w:sz w:val="17"/>
              </w:rPr>
              <w:t>5.50</w:t>
            </w:r>
          </w:p>
        </w:tc>
      </w:tr>
      <w:tr>
        <w:tc>
          <w:tcPr>
            <w:tcW w:type="dxa" w:w="1474"/>
          </w:tcPr>
          <w:p>
            <w:r/>
            <w:r>
              <w:rPr>
                <w:sz w:val="17"/>
              </w:rPr>
              <w:t>Q7-B-b4</w:t>
            </w:r>
          </w:p>
        </w:tc>
        <w:tc>
          <w:tcPr>
            <w:tcW w:type="dxa" w:w="3175"/>
          </w:tcPr>
          <w:p>
            <w:r/>
            <w:r>
              <w:rPr>
                <w:sz w:val="17"/>
              </w:rPr>
              <w:t>1,154.2 (1,147.4–1,210.7)</w:t>
            </w:r>
          </w:p>
        </w:tc>
        <w:tc>
          <w:tcPr>
            <w:tcW w:type="dxa" w:w="3175"/>
          </w:tcPr>
          <w:p>
            <w:r/>
            <w:r>
              <w:rPr>
                <w:sz w:val="17"/>
              </w:rPr>
              <w:t>10.5 (8.5–13.8)</w:t>
            </w:r>
          </w:p>
        </w:tc>
        <w:tc>
          <w:tcPr>
            <w:tcW w:type="dxa" w:w="1247"/>
          </w:tcPr>
          <w:p>
            <w:r/>
            <w:r>
              <w:rPr>
                <w:sz w:val="17"/>
              </w:rPr>
              <w:t>110.22</w:t>
            </w:r>
          </w:p>
        </w:tc>
      </w:tr>
      <w:tr>
        <w:tc>
          <w:tcPr>
            <w:tcW w:type="dxa" w:w="1474"/>
          </w:tcPr>
          <w:p>
            <w:r/>
            <w:r>
              <w:rPr>
                <w:sz w:val="17"/>
              </w:rPr>
              <w:t>Q7-B-b6</w:t>
            </w:r>
          </w:p>
        </w:tc>
        <w:tc>
          <w:tcPr>
            <w:tcW w:type="dxa" w:w="3175"/>
          </w:tcPr>
          <w:p>
            <w:r/>
            <w:r>
              <w:rPr>
                <w:sz w:val="17"/>
              </w:rPr>
              <w:t>5/5 timeouts</w:t>
            </w:r>
          </w:p>
        </w:tc>
        <w:tc>
          <w:tcPr>
            <w:tcW w:type="dxa" w:w="3175"/>
          </w:tcPr>
          <w:p>
            <w:r/>
            <w:r>
              <w:rPr>
                <w:sz w:val="17"/>
              </w:rPr>
              <w:t>10.4 (8.8–10.9)</w:t>
            </w:r>
          </w:p>
        </w:tc>
        <w:tc>
          <w:tcPr>
            <w:tcW w:type="dxa" w:w="1247"/>
          </w:tcPr>
          <w:p>
            <w:r/>
            <w:r>
              <w:rPr>
                <w:sz w:val="17"/>
              </w:rPr>
              <w:t>–</w:t>
            </w:r>
          </w:p>
        </w:tc>
      </w:tr>
      <w:tr>
        <w:tc>
          <w:tcPr>
            <w:tcW w:type="dxa" w:w="1474"/>
          </w:tcPr>
          <w:p>
            <w:r/>
            <w:r>
              <w:rPr>
                <w:sz w:val="17"/>
              </w:rPr>
              <w:t>Q7-E-b4</w:t>
            </w:r>
          </w:p>
        </w:tc>
        <w:tc>
          <w:tcPr>
            <w:tcW w:type="dxa" w:w="3175"/>
          </w:tcPr>
          <w:p>
            <w:r/>
            <w:r>
              <w:rPr>
                <w:sz w:val="17"/>
              </w:rPr>
              <w:t>1,173.1 (1,041.2–1,234.8)</w:t>
            </w:r>
          </w:p>
        </w:tc>
        <w:tc>
          <w:tcPr>
            <w:tcW w:type="dxa" w:w="3175"/>
          </w:tcPr>
          <w:p>
            <w:r/>
            <w:r>
              <w:rPr>
                <w:sz w:val="17"/>
              </w:rPr>
              <w:t>8.2 (7.5–10.0)</w:t>
            </w:r>
          </w:p>
        </w:tc>
        <w:tc>
          <w:tcPr>
            <w:tcW w:type="dxa" w:w="1247"/>
          </w:tcPr>
          <w:p>
            <w:r/>
            <w:r>
              <w:rPr>
                <w:sz w:val="17"/>
              </w:rPr>
              <w:t>142.99</w:t>
            </w:r>
          </w:p>
        </w:tc>
      </w:tr>
      <w:tr>
        <w:tc>
          <w:tcPr>
            <w:tcW w:type="dxa" w:w="1474"/>
          </w:tcPr>
          <w:p>
            <w:r/>
            <w:r>
              <w:rPr>
                <w:sz w:val="17"/>
              </w:rPr>
              <w:t>Q7-E-b6</w:t>
            </w:r>
          </w:p>
        </w:tc>
        <w:tc>
          <w:tcPr>
            <w:tcW w:type="dxa" w:w="3175"/>
          </w:tcPr>
          <w:p>
            <w:r/>
            <w:r>
              <w:rPr>
                <w:sz w:val="17"/>
              </w:rPr>
              <w:t>5/5 timeouts</w:t>
            </w:r>
          </w:p>
        </w:tc>
        <w:tc>
          <w:tcPr>
            <w:tcW w:type="dxa" w:w="3175"/>
          </w:tcPr>
          <w:p>
            <w:r/>
            <w:r>
              <w:rPr>
                <w:sz w:val="17"/>
              </w:rPr>
              <w:t>13.5 (12.3–13.9)</w:t>
            </w:r>
          </w:p>
        </w:tc>
        <w:tc>
          <w:tcPr>
            <w:tcW w:type="dxa" w:w="1247"/>
          </w:tcPr>
          <w:p>
            <w:r/>
            <w:r>
              <w:rPr>
                <w:sz w:val="17"/>
              </w:rPr>
              <w:t>–</w:t>
            </w:r>
          </w:p>
        </w:tc>
      </w:tr>
    </w:tbl>
    <w:p/>
    <w:p>
      <w:pPr>
        <w:jc w:val="center"/>
      </w:pPr>
      <w:r>
        <w:drawing>
          <wp:inline xmlns:a="http://schemas.openxmlformats.org/drawingml/2006/main" xmlns:pic="http://schemas.openxmlformats.org/drawingml/2006/picture">
            <wp:extent cx="6120000" cy="2734536"/>
            <wp:docPr id="35" name="Picture 35"/>
            <wp:cNvGraphicFramePr>
              <a:graphicFrameLocks noChangeAspect="1"/>
            </wp:cNvGraphicFramePr>
            <a:graphic>
              <a:graphicData uri="http://schemas.openxmlformats.org/drawingml/2006/picture">
                <pic:pic>
                  <pic:nvPicPr>
                    <pic:cNvPr id="0" name="6.2_neo_bench.png"/>
                    <pic:cNvPicPr/>
                  </pic:nvPicPr>
                  <pic:blipFill>
                    <a:blip r:embed="rId44"/>
                    <a:stretch>
                      <a:fillRect/>
                    </a:stretch>
                  </pic:blipFill>
                  <pic:spPr>
                    <a:xfrm>
                      <a:off x="0" y="0"/>
                      <a:ext cx="6120000" cy="2734536"/>
                    </a:xfrm>
                    <a:prstGeom prst="rect"/>
                  </pic:spPr>
                </pic:pic>
              </a:graphicData>
            </a:graphic>
          </wp:inline>
        </w:drawing>
      </w:r>
    </w:p>
    <w:p>
      <w:pPr>
        <w:jc w:val="center"/>
      </w:pPr>
      <w:r>
        <w:rPr>
          <w:b w:val="0"/>
          <w:i/>
          <w:sz w:val="18"/>
        </w:rPr>
        <w:t>Figure 35. Neo4j benchmark run (PostgreSQL stopped). The PostgreSQL run is summarized in the next figure; raw runs in results/benchmark/runs_pg_timing21.csv.</w:t>
      </w:r>
    </w:p>
    <w:p>
      <w:pPr>
        <w:jc w:val="center"/>
      </w:pPr>
      <w:r>
        <w:drawing>
          <wp:inline xmlns:a="http://schemas.openxmlformats.org/drawingml/2006/main" xmlns:pic="http://schemas.openxmlformats.org/drawingml/2006/picture">
            <wp:extent cx="6120000" cy="2787042"/>
            <wp:docPr id="36" name="Picture 36"/>
            <wp:cNvGraphicFramePr>
              <a:graphicFrameLocks noChangeAspect="1"/>
            </wp:cNvGraphicFramePr>
            <a:graphic>
              <a:graphicData uri="http://schemas.openxmlformats.org/drawingml/2006/picture">
                <pic:pic>
                  <pic:nvPicPr>
                    <pic:cNvPr id="0" name="6.2_summary.png"/>
                    <pic:cNvPicPr/>
                  </pic:nvPicPr>
                  <pic:blipFill>
                    <a:blip r:embed="rId45"/>
                    <a:stretch>
                      <a:fillRect/>
                    </a:stretch>
                  </pic:blipFill>
                  <pic:spPr>
                    <a:xfrm>
                      <a:off x="0" y="0"/>
                      <a:ext cx="6120000" cy="2787042"/>
                    </a:xfrm>
                    <a:prstGeom prst="rect"/>
                  </pic:spPr>
                </pic:pic>
              </a:graphicData>
            </a:graphic>
          </wp:inline>
        </w:drawing>
      </w:r>
    </w:p>
    <w:p>
      <w:pPr>
        <w:jc w:val="center"/>
      </w:pPr>
      <w:r>
        <w:rPr>
          <w:b w:val="0"/>
          <w:i/>
          <w:sz w:val="18"/>
        </w:rPr>
        <w:t>Figure 36. Benchmark summary with PG/Neo median ratios; all completed runs correct.</w:t>
      </w:r>
    </w:p>
    <w:p>
      <w:pPr>
        <w:jc w:val="center"/>
      </w:pPr>
      <w:r>
        <w:drawing>
          <wp:inline xmlns:a="http://schemas.openxmlformats.org/drawingml/2006/main" xmlns:pic="http://schemas.openxmlformats.org/drawingml/2006/picture">
            <wp:extent cx="6120000" cy="3439708"/>
            <wp:docPr id="37" name="Picture 37"/>
            <wp:cNvGraphicFramePr>
              <a:graphicFrameLocks noChangeAspect="1"/>
            </wp:cNvGraphicFramePr>
            <a:graphic>
              <a:graphicData uri="http://schemas.openxmlformats.org/drawingml/2006/picture">
                <pic:pic>
                  <pic:nvPicPr>
                    <pic:cNvPr id="0" name="6.2_pg_plans.png"/>
                    <pic:cNvPicPr/>
                  </pic:nvPicPr>
                  <pic:blipFill>
                    <a:blip r:embed="rId46"/>
                    <a:stretch>
                      <a:fillRect/>
                    </a:stretch>
                  </pic:blipFill>
                  <pic:spPr>
                    <a:xfrm>
                      <a:off x="0" y="0"/>
                      <a:ext cx="6120000" cy="3439708"/>
                    </a:xfrm>
                    <a:prstGeom prst="rect"/>
                  </pic:spPr>
                </pic:pic>
              </a:graphicData>
            </a:graphic>
          </wp:inline>
        </w:drawing>
      </w:r>
    </w:p>
    <w:p>
      <w:pPr>
        <w:jc w:val="center"/>
      </w:pPr>
      <w:r>
        <w:rPr>
          <w:b w:val="0"/>
          <w:i/>
          <w:sz w:val="18"/>
        </w:rPr>
        <w:t>Figure 37. EXPLAIN (ANALYZE, BUFFERS) for Q2, Q4 B depth 10 and Q7 B bound 6.</w:t>
      </w:r>
    </w:p>
    <w:p>
      <w:pPr>
        <w:jc w:val="center"/>
      </w:pPr>
      <w:r>
        <w:drawing>
          <wp:inline xmlns:a="http://schemas.openxmlformats.org/drawingml/2006/main" xmlns:pic="http://schemas.openxmlformats.org/drawingml/2006/picture">
            <wp:extent cx="6120000" cy="3436517"/>
            <wp:docPr id="38" name="Picture 38"/>
            <wp:cNvGraphicFramePr>
              <a:graphicFrameLocks noChangeAspect="1"/>
            </wp:cNvGraphicFramePr>
            <a:graphic>
              <a:graphicData uri="http://schemas.openxmlformats.org/drawingml/2006/picture">
                <pic:pic>
                  <pic:nvPicPr>
                    <pic:cNvPr id="0" name="6.2_neo_plans.png"/>
                    <pic:cNvPicPr/>
                  </pic:nvPicPr>
                  <pic:blipFill>
                    <a:blip r:embed="rId47"/>
                    <a:stretch>
                      <a:fillRect/>
                    </a:stretch>
                  </pic:blipFill>
                  <pic:spPr>
                    <a:xfrm>
                      <a:off x="0" y="0"/>
                      <a:ext cx="6120000" cy="3436517"/>
                    </a:xfrm>
                    <a:prstGeom prst="rect"/>
                  </pic:spPr>
                </pic:pic>
              </a:graphicData>
            </a:graphic>
          </wp:inline>
        </w:drawing>
      </w:r>
    </w:p>
    <w:p>
      <w:pPr>
        <w:jc w:val="center"/>
      </w:pPr>
      <w:r>
        <w:rPr>
          <w:b w:val="0"/>
          <w:i/>
          <w:sz w:val="18"/>
        </w:rPr>
        <w:t>Figure 38. Neo4j PROFILE for Q2, Q4 B depth 10 and Q7 B bound 6.</w:t>
      </w:r>
    </w:p>
    <w:p>
      <w:r>
        <w:rPr>
          <w:b w:val="0"/>
          <w:i w:val="0"/>
        </w:rPr>
        <w:t>Processing difference (Q7 B, bound 6): the PostgreSQL recursive CTE (107.5 s without a timeout) expanded 427,953 (account, depth) states over 7 iterations: 187,957 index-only scans returned 14.6 million transfer rows and 14.6 million account lookups checked the person role (60 million buffer hits). UNION only removes duplicate (account, depth) pairs, so accounts are re-expanded at every depth, and the search continues after reaching the destination. Neo4j used one ShortestPath operator (breadth-first, person filter applied during the search, stops at the first hit): 18,794 db hits. For Q2 both do full scans: PostgreSQL a Parallel Seq Scan with 2 workers and HashAggregate (12.1 s), Neo4j a relationship-type scan with 60 million db hits (8.6 s).</w:t>
      </w:r>
    </w:p>
    <w:p>
      <w:pPr>
        <w:pStyle w:val="Heading2"/>
      </w:pPr>
      <w:r>
        <w:t>6.3 One SQL improvement</w:t>
      </w:r>
    </w:p>
    <w:p>
      <w:r>
        <w:rPr>
          <w:b w:val="0"/>
          <w:i w:val="0"/>
        </w:rPr>
        <w:t>Prediction: searching from both ends should reduce the work from about d^6 to 2·d^3 states (d ≈ 16 person contacts per account), i.e. by hundreds of times. Implementation: forward ⌈bound/2⌉ steps from the review account and backward ⌊bound/2⌋ steps from the destination (incoming transfers from person senders), minimum depth per account on each side, join on shared accounts, MIN(forward + backward). Both versions are kept.</w:t>
      </w:r>
    </w:p>
    <w:tbl>
      <w:tblPr>
        <w:tblStyle w:val="LightGrid-Accent1"/>
        <w:tblW w:type="auto" w:w="0"/>
        <w:jc w:val="center"/>
        <w:tblLook w:firstColumn="1" w:firstRow="1" w:lastColumn="0" w:lastRow="0" w:noHBand="0" w:noVBand="1" w:val="04A0"/>
      </w:tblPr>
      <w:tblGrid>
        <w:gridCol w:w="1928"/>
        <w:gridCol w:w="1928"/>
        <w:gridCol w:w="1928"/>
        <w:gridCol w:w="1928"/>
        <w:gridCol w:w="1928"/>
      </w:tblGrid>
      <w:tr>
        <w:tc>
          <w:tcPr>
            <w:tcW w:type="dxa" w:w="1928"/>
          </w:tcPr>
          <w:p>
            <w:r/>
            <w:r>
              <w:rPr>
                <w:b/>
                <w:sz w:val="18"/>
              </w:rPr>
              <w:t>Case</w:t>
            </w:r>
          </w:p>
        </w:tc>
        <w:tc>
          <w:tcPr>
            <w:tcW w:type="dxa" w:w="1928"/>
          </w:tcPr>
          <w:p>
            <w:r/>
            <w:r>
              <w:rPr>
                <w:b/>
                <w:sz w:val="18"/>
              </w:rPr>
              <w:t>Plain SQL ms</w:t>
            </w:r>
          </w:p>
        </w:tc>
        <w:tc>
          <w:tcPr>
            <w:tcW w:type="dxa" w:w="1928"/>
          </w:tcPr>
          <w:p>
            <w:r/>
            <w:r>
              <w:rPr>
                <w:b/>
                <w:sz w:val="18"/>
              </w:rPr>
              <w:t>Bidirectional SQL ms</w:t>
            </w:r>
          </w:p>
        </w:tc>
        <w:tc>
          <w:tcPr>
            <w:tcW w:type="dxa" w:w="1928"/>
          </w:tcPr>
          <w:p>
            <w:r/>
            <w:r>
              <w:rPr>
                <w:b/>
                <w:sz w:val="18"/>
              </w:rPr>
              <w:t>Neo4j ms</w:t>
            </w:r>
          </w:p>
        </w:tc>
        <w:tc>
          <w:tcPr>
            <w:tcW w:type="dxa" w:w="1928"/>
          </w:tcPr>
          <w:p>
            <w:r/>
            <w:r>
              <w:rPr>
                <w:b/>
                <w:sz w:val="18"/>
              </w:rPr>
              <w:t>New PG/Neo</w:t>
            </w:r>
          </w:p>
        </w:tc>
      </w:tr>
      <w:tr>
        <w:tc>
          <w:tcPr>
            <w:tcW w:type="dxa" w:w="1928"/>
          </w:tcPr>
          <w:p>
            <w:r/>
            <w:r>
              <w:rPr>
                <w:sz w:val="18"/>
              </w:rPr>
              <w:t>Q7-B-b4</w:t>
            </w:r>
          </w:p>
        </w:tc>
        <w:tc>
          <w:tcPr>
            <w:tcW w:type="dxa" w:w="1928"/>
          </w:tcPr>
          <w:p>
            <w:r/>
            <w:r>
              <w:rPr>
                <w:sz w:val="18"/>
              </w:rPr>
              <w:t>1,154.2</w:t>
            </w:r>
          </w:p>
        </w:tc>
        <w:tc>
          <w:tcPr>
            <w:tcW w:type="dxa" w:w="1928"/>
          </w:tcPr>
          <w:p>
            <w:r/>
            <w:r>
              <w:rPr>
                <w:sz w:val="18"/>
              </w:rPr>
              <w:t>6.8</w:t>
            </w:r>
          </w:p>
        </w:tc>
        <w:tc>
          <w:tcPr>
            <w:tcW w:type="dxa" w:w="1928"/>
          </w:tcPr>
          <w:p>
            <w:r/>
            <w:r>
              <w:rPr>
                <w:sz w:val="18"/>
              </w:rPr>
              <w:t>10.5</w:t>
            </w:r>
          </w:p>
        </w:tc>
        <w:tc>
          <w:tcPr>
            <w:tcW w:type="dxa" w:w="1928"/>
          </w:tcPr>
          <w:p>
            <w:r/>
            <w:r>
              <w:rPr>
                <w:sz w:val="18"/>
              </w:rPr>
              <w:t>0.65</w:t>
            </w:r>
          </w:p>
        </w:tc>
      </w:tr>
      <w:tr>
        <w:tc>
          <w:tcPr>
            <w:tcW w:type="dxa" w:w="1928"/>
          </w:tcPr>
          <w:p>
            <w:r/>
            <w:r>
              <w:rPr>
                <w:sz w:val="18"/>
              </w:rPr>
              <w:t>Q7-B-b6</w:t>
            </w:r>
          </w:p>
        </w:tc>
        <w:tc>
          <w:tcPr>
            <w:tcW w:type="dxa" w:w="1928"/>
          </w:tcPr>
          <w:p>
            <w:r/>
            <w:r>
              <w:rPr>
                <w:sz w:val="18"/>
              </w:rPr>
              <w:t>5/5 timeouts</w:t>
            </w:r>
          </w:p>
        </w:tc>
        <w:tc>
          <w:tcPr>
            <w:tcW w:type="dxa" w:w="1928"/>
          </w:tcPr>
          <w:p>
            <w:r/>
            <w:r>
              <w:rPr>
                <w:sz w:val="18"/>
              </w:rPr>
              <w:t>82.6</w:t>
            </w:r>
          </w:p>
        </w:tc>
        <w:tc>
          <w:tcPr>
            <w:tcW w:type="dxa" w:w="1928"/>
          </w:tcPr>
          <w:p>
            <w:r/>
            <w:r>
              <w:rPr>
                <w:sz w:val="18"/>
              </w:rPr>
              <w:t>10.4</w:t>
            </w:r>
          </w:p>
        </w:tc>
        <w:tc>
          <w:tcPr>
            <w:tcW w:type="dxa" w:w="1928"/>
          </w:tcPr>
          <w:p>
            <w:r/>
            <w:r>
              <w:rPr>
                <w:sz w:val="18"/>
              </w:rPr>
              <w:t>7.91</w:t>
            </w:r>
          </w:p>
        </w:tc>
      </w:tr>
      <w:tr>
        <w:tc>
          <w:tcPr>
            <w:tcW w:type="dxa" w:w="1928"/>
          </w:tcPr>
          <w:p>
            <w:r/>
            <w:r>
              <w:rPr>
                <w:sz w:val="18"/>
              </w:rPr>
              <w:t>Q7-E-b4</w:t>
            </w:r>
          </w:p>
        </w:tc>
        <w:tc>
          <w:tcPr>
            <w:tcW w:type="dxa" w:w="1928"/>
          </w:tcPr>
          <w:p>
            <w:r/>
            <w:r>
              <w:rPr>
                <w:sz w:val="18"/>
              </w:rPr>
              <w:t>1,173.1</w:t>
            </w:r>
          </w:p>
        </w:tc>
        <w:tc>
          <w:tcPr>
            <w:tcW w:type="dxa" w:w="1928"/>
          </w:tcPr>
          <w:p>
            <w:r/>
            <w:r>
              <w:rPr>
                <w:sz w:val="18"/>
              </w:rPr>
              <w:t>10.9</w:t>
            </w:r>
          </w:p>
        </w:tc>
        <w:tc>
          <w:tcPr>
            <w:tcW w:type="dxa" w:w="1928"/>
          </w:tcPr>
          <w:p>
            <w:r/>
            <w:r>
              <w:rPr>
                <w:sz w:val="18"/>
              </w:rPr>
              <w:t>8.2</w:t>
            </w:r>
          </w:p>
        </w:tc>
        <w:tc>
          <w:tcPr>
            <w:tcW w:type="dxa" w:w="1928"/>
          </w:tcPr>
          <w:p>
            <w:r/>
            <w:r>
              <w:rPr>
                <w:sz w:val="18"/>
              </w:rPr>
              <w:t>1.33</w:t>
            </w:r>
          </w:p>
        </w:tc>
      </w:tr>
      <w:tr>
        <w:tc>
          <w:tcPr>
            <w:tcW w:type="dxa" w:w="1928"/>
          </w:tcPr>
          <w:p>
            <w:r/>
            <w:r>
              <w:rPr>
                <w:sz w:val="18"/>
              </w:rPr>
              <w:t>Q7-E-b6</w:t>
            </w:r>
          </w:p>
        </w:tc>
        <w:tc>
          <w:tcPr>
            <w:tcW w:type="dxa" w:w="1928"/>
          </w:tcPr>
          <w:p>
            <w:r/>
            <w:r>
              <w:rPr>
                <w:sz w:val="18"/>
              </w:rPr>
              <w:t>5/5 timeouts</w:t>
            </w:r>
          </w:p>
        </w:tc>
        <w:tc>
          <w:tcPr>
            <w:tcW w:type="dxa" w:w="1928"/>
          </w:tcPr>
          <w:p>
            <w:r/>
            <w:r>
              <w:rPr>
                <w:sz w:val="18"/>
              </w:rPr>
              <w:t>78.0</w:t>
            </w:r>
          </w:p>
        </w:tc>
        <w:tc>
          <w:tcPr>
            <w:tcW w:type="dxa" w:w="1928"/>
          </w:tcPr>
          <w:p>
            <w:r/>
            <w:r>
              <w:rPr>
                <w:sz w:val="18"/>
              </w:rPr>
              <w:t>13.5</w:t>
            </w:r>
          </w:p>
        </w:tc>
        <w:tc>
          <w:tcPr>
            <w:tcW w:type="dxa" w:w="1928"/>
          </w:tcPr>
          <w:p>
            <w:r/>
            <w:r>
              <w:rPr>
                <w:sz w:val="18"/>
              </w:rPr>
              <w:t>5.79</w:t>
            </w:r>
          </w:p>
        </w:tc>
      </w:tr>
    </w:tbl>
    <w:p/>
    <w:p>
      <w:pPr>
        <w:jc w:val="center"/>
      </w:pPr>
      <w:r>
        <w:drawing>
          <wp:inline xmlns:a="http://schemas.openxmlformats.org/drawingml/2006/main" xmlns:pic="http://schemas.openxmlformats.org/drawingml/2006/picture">
            <wp:extent cx="6120000" cy="797706"/>
            <wp:docPr id="39" name="Picture 39"/>
            <wp:cNvGraphicFramePr>
              <a:graphicFrameLocks noChangeAspect="1"/>
            </wp:cNvGraphicFramePr>
            <a:graphic>
              <a:graphicData uri="http://schemas.openxmlformats.org/drawingml/2006/picture">
                <pic:pic>
                  <pic:nvPicPr>
                    <pic:cNvPr id="0" name="6.3_pg_revised.png"/>
                    <pic:cNvPicPr/>
                  </pic:nvPicPr>
                  <pic:blipFill>
                    <a:blip r:embed="rId48"/>
                    <a:stretch>
                      <a:fillRect/>
                    </a:stretch>
                  </pic:blipFill>
                  <pic:spPr>
                    <a:xfrm>
                      <a:off x="0" y="0"/>
                      <a:ext cx="6120000" cy="797706"/>
                    </a:xfrm>
                    <a:prstGeom prst="rect"/>
                  </pic:spPr>
                </pic:pic>
              </a:graphicData>
            </a:graphic>
          </wp:inline>
        </w:drawing>
      </w:r>
    </w:p>
    <w:p>
      <w:pPr>
        <w:jc w:val="center"/>
      </w:pPr>
      <w:r>
        <w:rPr>
          <w:b w:val="0"/>
          <w:i/>
          <w:sz w:val="18"/>
        </w:rPr>
        <w:t>Figure 39. Four revised SQL cases timed (B/E at both bounds).</w:t>
      </w:r>
    </w:p>
    <w:p>
      <w:pPr>
        <w:jc w:val="center"/>
      </w:pPr>
      <w:r>
        <w:drawing>
          <wp:inline xmlns:a="http://schemas.openxmlformats.org/drawingml/2006/main" xmlns:pic="http://schemas.openxmlformats.org/drawingml/2006/picture">
            <wp:extent cx="6120000" cy="3430136"/>
            <wp:docPr id="40" name="Picture 40"/>
            <wp:cNvGraphicFramePr>
              <a:graphicFrameLocks noChangeAspect="1"/>
            </wp:cNvGraphicFramePr>
            <a:graphic>
              <a:graphicData uri="http://schemas.openxmlformats.org/drawingml/2006/picture">
                <pic:pic>
                  <pic:nvPicPr>
                    <pic:cNvPr id="0" name="6.3_recheck.png"/>
                    <pic:cNvPicPr/>
                  </pic:nvPicPr>
                  <pic:blipFill>
                    <a:blip r:embed="rId49"/>
                    <a:stretch>
                      <a:fillRect/>
                    </a:stretch>
                  </pic:blipFill>
                  <pic:spPr>
                    <a:xfrm>
                      <a:off x="0" y="0"/>
                      <a:ext cx="6120000" cy="3430136"/>
                    </a:xfrm>
                    <a:prstGeom prst="rect"/>
                  </pic:spPr>
                </pic:pic>
              </a:graphicData>
            </a:graphic>
          </wp:inline>
        </w:drawing>
      </w:r>
    </w:p>
    <w:p>
      <w:pPr>
        <w:jc w:val="center"/>
      </w:pPr>
      <w:r>
        <w:rPr>
          <w:b w:val="0"/>
          <w:i/>
          <w:sz w:val="18"/>
        </w:rPr>
        <w:t>Figure 40. All 61 cases recheck correctly with the bidirectional Q7.</w:t>
      </w:r>
    </w:p>
    <w:p>
      <w:r>
        <w:rPr>
          <w:b w:val="0"/>
          <w:i w:val="0"/>
        </w:rPr>
        <w:t>Outcome: the bidirectional version is selected for Section 7. B/E bound-6 medians fell from &gt;60 s (timeouts) to ≈80 ms, more than 700× faster; plan execution fell from 107.5 s to 0.21 s. Neo4j remains ≈6–8× faster at bound 6, but the gap is now milliseconds, so most of the original difference came from the SQL algorithm, not the relational model.</w:t>
      </w:r>
    </w:p>
    <w:p>
      <w:r>
        <w:br w:type="page"/>
      </w:r>
    </w:p>
    <w:p>
      <w:pPr>
        <w:pStyle w:val="Heading1"/>
      </w:pPr>
      <w:r>
        <w:t>7 Concurrent requests</w:t>
      </w:r>
    </w:p>
    <w:p>
      <w:pPr>
        <w:pStyle w:val="Heading2"/>
      </w:pPr>
      <w:r>
        <w:t>7.1 Load test</w:t>
      </w:r>
    </w:p>
    <w:p>
      <w:r>
        <w:rPr>
          <w:b w:val="0"/>
          <w:i w:val="0"/>
        </w:rPr>
        <w:t>loadtest.py starts 1, 4, 8 or 16 processes, each with one persistent connection; each warms up A-B-C once, waits at a Barrier, then runs A-B-C cycles until 15 s after the common start, finishing any started cycle. Q4 depth 10 and Q7 bound 6 (bidirectional SQL) were tested separately, three repetitions each; correctness checked after timing. Values below are medians of the three repetitions; there were no errors, timeouts or wrong answers.</w:t>
      </w:r>
    </w:p>
    <w:tbl>
      <w:tblPr>
        <w:tblStyle w:val="LightGrid-Accent1"/>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r/>
            <w:r>
              <w:rPr>
                <w:b/>
                <w:sz w:val="17"/>
              </w:rPr>
              <w:t>Engine</w:t>
            </w:r>
          </w:p>
        </w:tc>
        <w:tc>
          <w:tcPr>
            <w:tcW w:type="dxa" w:w="1377"/>
          </w:tcPr>
          <w:p>
            <w:r/>
            <w:r>
              <w:rPr>
                <w:b/>
                <w:sz w:val="17"/>
              </w:rPr>
              <w:t>Workload</w:t>
            </w:r>
          </w:p>
        </w:tc>
        <w:tc>
          <w:tcPr>
            <w:tcW w:type="dxa" w:w="1377"/>
          </w:tcPr>
          <w:p>
            <w:r/>
            <w:r>
              <w:rPr>
                <w:b/>
                <w:sz w:val="17"/>
              </w:rPr>
              <w:t>Clients</w:t>
            </w:r>
          </w:p>
        </w:tc>
        <w:tc>
          <w:tcPr>
            <w:tcW w:type="dxa" w:w="1377"/>
          </w:tcPr>
          <w:p>
            <w:r/>
            <w:r>
              <w:rPr>
                <w:b/>
                <w:sz w:val="17"/>
              </w:rPr>
              <w:t>Req/s</w:t>
            </w:r>
          </w:p>
        </w:tc>
        <w:tc>
          <w:tcPr>
            <w:tcW w:type="dxa" w:w="1377"/>
          </w:tcPr>
          <w:p>
            <w:r/>
            <w:r>
              <w:rPr>
                <w:b/>
                <w:sz w:val="17"/>
              </w:rPr>
              <w:t>Median ms</w:t>
            </w:r>
          </w:p>
        </w:tc>
        <w:tc>
          <w:tcPr>
            <w:tcW w:type="dxa" w:w="1377"/>
          </w:tcPr>
          <w:p>
            <w:r/>
            <w:r>
              <w:rPr>
                <w:b/>
                <w:sz w:val="17"/>
              </w:rPr>
              <w:t>p95 ms</w:t>
            </w:r>
          </w:p>
        </w:tc>
        <w:tc>
          <w:tcPr>
            <w:tcW w:type="dxa" w:w="1377"/>
          </w:tcPr>
          <w:p>
            <w:r/>
            <w:r>
              <w:rPr>
                <w:b/>
                <w:sz w:val="17"/>
              </w:rPr>
              <w:t>CPU avg %</w:t>
            </w:r>
          </w:p>
        </w:tc>
      </w:tr>
      <w:tr>
        <w:tc>
          <w:tcPr>
            <w:tcW w:type="dxa" w:w="1377"/>
          </w:tcPr>
          <w:p>
            <w:r/>
            <w:r>
              <w:rPr>
                <w:sz w:val="17"/>
              </w:rPr>
              <w:t>Neo4j</w:t>
            </w:r>
          </w:p>
        </w:tc>
        <w:tc>
          <w:tcPr>
            <w:tcW w:type="dxa" w:w="1377"/>
          </w:tcPr>
          <w:p>
            <w:r/>
            <w:r>
              <w:rPr>
                <w:sz w:val="17"/>
              </w:rPr>
              <w:t>Q4-d10</w:t>
            </w:r>
          </w:p>
        </w:tc>
        <w:tc>
          <w:tcPr>
            <w:tcW w:type="dxa" w:w="1377"/>
          </w:tcPr>
          <w:p>
            <w:r/>
            <w:r>
              <w:rPr>
                <w:sz w:val="17"/>
              </w:rPr>
              <w:t>1</w:t>
            </w:r>
          </w:p>
        </w:tc>
        <w:tc>
          <w:tcPr>
            <w:tcW w:type="dxa" w:w="1377"/>
          </w:tcPr>
          <w:p>
            <w:r/>
            <w:r>
              <w:rPr>
                <w:sz w:val="17"/>
              </w:rPr>
              <w:t>396.5</w:t>
            </w:r>
          </w:p>
        </w:tc>
        <w:tc>
          <w:tcPr>
            <w:tcW w:type="dxa" w:w="1377"/>
          </w:tcPr>
          <w:p>
            <w:r/>
            <w:r>
              <w:rPr>
                <w:sz w:val="17"/>
              </w:rPr>
              <w:t>1.9</w:t>
            </w:r>
          </w:p>
        </w:tc>
        <w:tc>
          <w:tcPr>
            <w:tcW w:type="dxa" w:w="1377"/>
          </w:tcPr>
          <w:p>
            <w:r/>
            <w:r>
              <w:rPr>
                <w:sz w:val="17"/>
              </w:rPr>
              <w:t>4.4</w:t>
            </w:r>
          </w:p>
        </w:tc>
        <w:tc>
          <w:tcPr>
            <w:tcW w:type="dxa" w:w="1377"/>
          </w:tcPr>
          <w:p>
            <w:r/>
            <w:r>
              <w:rPr>
                <w:sz w:val="17"/>
              </w:rPr>
              <w:t>6</w:t>
            </w:r>
          </w:p>
        </w:tc>
      </w:tr>
      <w:tr>
        <w:tc>
          <w:tcPr>
            <w:tcW w:type="dxa" w:w="1377"/>
          </w:tcPr>
          <w:p>
            <w:r/>
            <w:r>
              <w:rPr>
                <w:sz w:val="17"/>
              </w:rPr>
              <w:t>Neo4j</w:t>
            </w:r>
          </w:p>
        </w:tc>
        <w:tc>
          <w:tcPr>
            <w:tcW w:type="dxa" w:w="1377"/>
          </w:tcPr>
          <w:p>
            <w:r/>
            <w:r>
              <w:rPr>
                <w:sz w:val="17"/>
              </w:rPr>
              <w:t>Q4-d10</w:t>
            </w:r>
          </w:p>
        </w:tc>
        <w:tc>
          <w:tcPr>
            <w:tcW w:type="dxa" w:w="1377"/>
          </w:tcPr>
          <w:p>
            <w:r/>
            <w:r>
              <w:rPr>
                <w:sz w:val="17"/>
              </w:rPr>
              <w:t>4</w:t>
            </w:r>
          </w:p>
        </w:tc>
        <w:tc>
          <w:tcPr>
            <w:tcW w:type="dxa" w:w="1377"/>
          </w:tcPr>
          <w:p>
            <w:r/>
            <w:r>
              <w:rPr>
                <w:sz w:val="17"/>
              </w:rPr>
              <w:t>1,398.5</w:t>
            </w:r>
          </w:p>
        </w:tc>
        <w:tc>
          <w:tcPr>
            <w:tcW w:type="dxa" w:w="1377"/>
          </w:tcPr>
          <w:p>
            <w:r/>
            <w:r>
              <w:rPr>
                <w:sz w:val="17"/>
              </w:rPr>
              <w:t>1.9</w:t>
            </w:r>
          </w:p>
        </w:tc>
        <w:tc>
          <w:tcPr>
            <w:tcW w:type="dxa" w:w="1377"/>
          </w:tcPr>
          <w:p>
            <w:r/>
            <w:r>
              <w:rPr>
                <w:sz w:val="17"/>
              </w:rPr>
              <w:t>6.0</w:t>
            </w:r>
          </w:p>
        </w:tc>
        <w:tc>
          <w:tcPr>
            <w:tcW w:type="dxa" w:w="1377"/>
          </w:tcPr>
          <w:p>
            <w:r/>
            <w:r>
              <w:rPr>
                <w:sz w:val="17"/>
              </w:rPr>
              <w:t>9</w:t>
            </w:r>
          </w:p>
        </w:tc>
      </w:tr>
      <w:tr>
        <w:tc>
          <w:tcPr>
            <w:tcW w:type="dxa" w:w="1377"/>
          </w:tcPr>
          <w:p>
            <w:r/>
            <w:r>
              <w:rPr>
                <w:sz w:val="17"/>
              </w:rPr>
              <w:t>Neo4j</w:t>
            </w:r>
          </w:p>
        </w:tc>
        <w:tc>
          <w:tcPr>
            <w:tcW w:type="dxa" w:w="1377"/>
          </w:tcPr>
          <w:p>
            <w:r/>
            <w:r>
              <w:rPr>
                <w:sz w:val="17"/>
              </w:rPr>
              <w:t>Q4-d10</w:t>
            </w:r>
          </w:p>
        </w:tc>
        <w:tc>
          <w:tcPr>
            <w:tcW w:type="dxa" w:w="1377"/>
          </w:tcPr>
          <w:p>
            <w:r/>
            <w:r>
              <w:rPr>
                <w:sz w:val="17"/>
              </w:rPr>
              <w:t>8</w:t>
            </w:r>
          </w:p>
        </w:tc>
        <w:tc>
          <w:tcPr>
            <w:tcW w:type="dxa" w:w="1377"/>
          </w:tcPr>
          <w:p>
            <w:r/>
            <w:r>
              <w:rPr>
                <w:sz w:val="17"/>
              </w:rPr>
              <w:t>1,497.3</w:t>
            </w:r>
          </w:p>
        </w:tc>
        <w:tc>
          <w:tcPr>
            <w:tcW w:type="dxa" w:w="1377"/>
          </w:tcPr>
          <w:p>
            <w:r/>
            <w:r>
              <w:rPr>
                <w:sz w:val="17"/>
              </w:rPr>
              <w:t>3.4</w:t>
            </w:r>
          </w:p>
        </w:tc>
        <w:tc>
          <w:tcPr>
            <w:tcW w:type="dxa" w:w="1377"/>
          </w:tcPr>
          <w:p>
            <w:r/>
            <w:r>
              <w:rPr>
                <w:sz w:val="17"/>
              </w:rPr>
              <w:t>10.7</w:t>
            </w:r>
          </w:p>
        </w:tc>
        <w:tc>
          <w:tcPr>
            <w:tcW w:type="dxa" w:w="1377"/>
          </w:tcPr>
          <w:p>
            <w:r/>
            <w:r>
              <w:rPr>
                <w:sz w:val="17"/>
              </w:rPr>
              <w:t>97</w:t>
            </w:r>
          </w:p>
        </w:tc>
      </w:tr>
      <w:tr>
        <w:tc>
          <w:tcPr>
            <w:tcW w:type="dxa" w:w="1377"/>
          </w:tcPr>
          <w:p>
            <w:r/>
            <w:r>
              <w:rPr>
                <w:sz w:val="17"/>
              </w:rPr>
              <w:t>Neo4j</w:t>
            </w:r>
          </w:p>
        </w:tc>
        <w:tc>
          <w:tcPr>
            <w:tcW w:type="dxa" w:w="1377"/>
          </w:tcPr>
          <w:p>
            <w:r/>
            <w:r>
              <w:rPr>
                <w:sz w:val="17"/>
              </w:rPr>
              <w:t>Q4-d10</w:t>
            </w:r>
          </w:p>
        </w:tc>
        <w:tc>
          <w:tcPr>
            <w:tcW w:type="dxa" w:w="1377"/>
          </w:tcPr>
          <w:p>
            <w:r/>
            <w:r>
              <w:rPr>
                <w:sz w:val="17"/>
              </w:rPr>
              <w:t>16</w:t>
            </w:r>
          </w:p>
        </w:tc>
        <w:tc>
          <w:tcPr>
            <w:tcW w:type="dxa" w:w="1377"/>
          </w:tcPr>
          <w:p>
            <w:r/>
            <w:r>
              <w:rPr>
                <w:sz w:val="17"/>
              </w:rPr>
              <w:t>1,331.2</w:t>
            </w:r>
          </w:p>
        </w:tc>
        <w:tc>
          <w:tcPr>
            <w:tcW w:type="dxa" w:w="1377"/>
          </w:tcPr>
          <w:p>
            <w:r/>
            <w:r>
              <w:rPr>
                <w:sz w:val="17"/>
              </w:rPr>
              <w:t>5.6</w:t>
            </w:r>
          </w:p>
        </w:tc>
        <w:tc>
          <w:tcPr>
            <w:tcW w:type="dxa" w:w="1377"/>
          </w:tcPr>
          <w:p>
            <w:r/>
            <w:r>
              <w:rPr>
                <w:sz w:val="17"/>
              </w:rPr>
              <w:t>35.1</w:t>
            </w:r>
          </w:p>
        </w:tc>
        <w:tc>
          <w:tcPr>
            <w:tcW w:type="dxa" w:w="1377"/>
          </w:tcPr>
          <w:p>
            <w:r/>
            <w:r>
              <w:rPr>
                <w:sz w:val="17"/>
              </w:rPr>
              <w:t>99</w:t>
            </w:r>
          </w:p>
        </w:tc>
      </w:tr>
      <w:tr>
        <w:tc>
          <w:tcPr>
            <w:tcW w:type="dxa" w:w="1377"/>
          </w:tcPr>
          <w:p>
            <w:r/>
            <w:r>
              <w:rPr>
                <w:sz w:val="17"/>
              </w:rPr>
              <w:t>Neo4j</w:t>
            </w:r>
          </w:p>
        </w:tc>
        <w:tc>
          <w:tcPr>
            <w:tcW w:type="dxa" w:w="1377"/>
          </w:tcPr>
          <w:p>
            <w:r/>
            <w:r>
              <w:rPr>
                <w:sz w:val="17"/>
              </w:rPr>
              <w:t>Q7-b6</w:t>
            </w:r>
          </w:p>
        </w:tc>
        <w:tc>
          <w:tcPr>
            <w:tcW w:type="dxa" w:w="1377"/>
          </w:tcPr>
          <w:p>
            <w:r/>
            <w:r>
              <w:rPr>
                <w:sz w:val="17"/>
              </w:rPr>
              <w:t>1</w:t>
            </w:r>
          </w:p>
        </w:tc>
        <w:tc>
          <w:tcPr>
            <w:tcW w:type="dxa" w:w="1377"/>
          </w:tcPr>
          <w:p>
            <w:r/>
            <w:r>
              <w:rPr>
                <w:sz w:val="17"/>
              </w:rPr>
              <w:t>221.7</w:t>
            </w:r>
          </w:p>
        </w:tc>
        <w:tc>
          <w:tcPr>
            <w:tcW w:type="dxa" w:w="1377"/>
          </w:tcPr>
          <w:p>
            <w:r/>
            <w:r>
              <w:rPr>
                <w:sz w:val="17"/>
              </w:rPr>
              <w:t>5.5</w:t>
            </w:r>
          </w:p>
        </w:tc>
        <w:tc>
          <w:tcPr>
            <w:tcW w:type="dxa" w:w="1377"/>
          </w:tcPr>
          <w:p>
            <w:r/>
            <w:r>
              <w:rPr>
                <w:sz w:val="17"/>
              </w:rPr>
              <w:t>7.2</w:t>
            </w:r>
          </w:p>
        </w:tc>
        <w:tc>
          <w:tcPr>
            <w:tcW w:type="dxa" w:w="1377"/>
          </w:tcPr>
          <w:p>
            <w:r/>
            <w:r>
              <w:rPr>
                <w:sz w:val="17"/>
              </w:rPr>
              <w:t>4</w:t>
            </w:r>
          </w:p>
        </w:tc>
      </w:tr>
      <w:tr>
        <w:tc>
          <w:tcPr>
            <w:tcW w:type="dxa" w:w="1377"/>
          </w:tcPr>
          <w:p>
            <w:r/>
            <w:r>
              <w:rPr>
                <w:sz w:val="17"/>
              </w:rPr>
              <w:t>Neo4j</w:t>
            </w:r>
          </w:p>
        </w:tc>
        <w:tc>
          <w:tcPr>
            <w:tcW w:type="dxa" w:w="1377"/>
          </w:tcPr>
          <w:p>
            <w:r/>
            <w:r>
              <w:rPr>
                <w:sz w:val="17"/>
              </w:rPr>
              <w:t>Q7-b6</w:t>
            </w:r>
          </w:p>
        </w:tc>
        <w:tc>
          <w:tcPr>
            <w:tcW w:type="dxa" w:w="1377"/>
          </w:tcPr>
          <w:p>
            <w:r/>
            <w:r>
              <w:rPr>
                <w:sz w:val="17"/>
              </w:rPr>
              <w:t>4</w:t>
            </w:r>
          </w:p>
        </w:tc>
        <w:tc>
          <w:tcPr>
            <w:tcW w:type="dxa" w:w="1377"/>
          </w:tcPr>
          <w:p>
            <w:r/>
            <w:r>
              <w:rPr>
                <w:sz w:val="17"/>
              </w:rPr>
              <w:t>652.5</w:t>
            </w:r>
          </w:p>
        </w:tc>
        <w:tc>
          <w:tcPr>
            <w:tcW w:type="dxa" w:w="1377"/>
          </w:tcPr>
          <w:p>
            <w:r/>
            <w:r>
              <w:rPr>
                <w:sz w:val="17"/>
              </w:rPr>
              <w:t>7.3</w:t>
            </w:r>
          </w:p>
        </w:tc>
        <w:tc>
          <w:tcPr>
            <w:tcW w:type="dxa" w:w="1377"/>
          </w:tcPr>
          <w:p>
            <w:r/>
            <w:r>
              <w:rPr>
                <w:sz w:val="17"/>
              </w:rPr>
              <w:t>10.5</w:t>
            </w:r>
          </w:p>
        </w:tc>
        <w:tc>
          <w:tcPr>
            <w:tcW w:type="dxa" w:w="1377"/>
          </w:tcPr>
          <w:p>
            <w:r/>
            <w:r>
              <w:rPr>
                <w:sz w:val="17"/>
              </w:rPr>
              <w:t>10</w:t>
            </w:r>
          </w:p>
        </w:tc>
      </w:tr>
      <w:tr>
        <w:tc>
          <w:tcPr>
            <w:tcW w:type="dxa" w:w="1377"/>
          </w:tcPr>
          <w:p>
            <w:r/>
            <w:r>
              <w:rPr>
                <w:sz w:val="17"/>
              </w:rPr>
              <w:t>Neo4j</w:t>
            </w:r>
          </w:p>
        </w:tc>
        <w:tc>
          <w:tcPr>
            <w:tcW w:type="dxa" w:w="1377"/>
          </w:tcPr>
          <w:p>
            <w:r/>
            <w:r>
              <w:rPr>
                <w:sz w:val="17"/>
              </w:rPr>
              <w:t>Q7-b6</w:t>
            </w:r>
          </w:p>
        </w:tc>
        <w:tc>
          <w:tcPr>
            <w:tcW w:type="dxa" w:w="1377"/>
          </w:tcPr>
          <w:p>
            <w:r/>
            <w:r>
              <w:rPr>
                <w:sz w:val="17"/>
              </w:rPr>
              <w:t>8</w:t>
            </w:r>
          </w:p>
        </w:tc>
        <w:tc>
          <w:tcPr>
            <w:tcW w:type="dxa" w:w="1377"/>
          </w:tcPr>
          <w:p>
            <w:r/>
            <w:r>
              <w:rPr>
                <w:sz w:val="17"/>
              </w:rPr>
              <w:t>849.8</w:t>
            </w:r>
          </w:p>
        </w:tc>
        <w:tc>
          <w:tcPr>
            <w:tcW w:type="dxa" w:w="1377"/>
          </w:tcPr>
          <w:p>
            <w:r/>
            <w:r>
              <w:rPr>
                <w:sz w:val="17"/>
              </w:rPr>
              <w:t>11.1</w:t>
            </w:r>
          </w:p>
        </w:tc>
        <w:tc>
          <w:tcPr>
            <w:tcW w:type="dxa" w:w="1377"/>
          </w:tcPr>
          <w:p>
            <w:r/>
            <w:r>
              <w:rPr>
                <w:sz w:val="17"/>
              </w:rPr>
              <w:t>16.9</w:t>
            </w:r>
          </w:p>
        </w:tc>
        <w:tc>
          <w:tcPr>
            <w:tcW w:type="dxa" w:w="1377"/>
          </w:tcPr>
          <w:p>
            <w:r/>
            <w:r>
              <w:rPr>
                <w:sz w:val="17"/>
              </w:rPr>
              <w:t>97</w:t>
            </w:r>
          </w:p>
        </w:tc>
      </w:tr>
      <w:tr>
        <w:tc>
          <w:tcPr>
            <w:tcW w:type="dxa" w:w="1377"/>
          </w:tcPr>
          <w:p>
            <w:r/>
            <w:r>
              <w:rPr>
                <w:sz w:val="17"/>
              </w:rPr>
              <w:t>Neo4j</w:t>
            </w:r>
          </w:p>
        </w:tc>
        <w:tc>
          <w:tcPr>
            <w:tcW w:type="dxa" w:w="1377"/>
          </w:tcPr>
          <w:p>
            <w:r/>
            <w:r>
              <w:rPr>
                <w:sz w:val="17"/>
              </w:rPr>
              <w:t>Q7-b6</w:t>
            </w:r>
          </w:p>
        </w:tc>
        <w:tc>
          <w:tcPr>
            <w:tcW w:type="dxa" w:w="1377"/>
          </w:tcPr>
          <w:p>
            <w:r/>
            <w:r>
              <w:rPr>
                <w:sz w:val="17"/>
              </w:rPr>
              <w:t>16</w:t>
            </w:r>
          </w:p>
        </w:tc>
        <w:tc>
          <w:tcPr>
            <w:tcW w:type="dxa" w:w="1377"/>
          </w:tcPr>
          <w:p>
            <w:r/>
            <w:r>
              <w:rPr>
                <w:sz w:val="17"/>
              </w:rPr>
              <w:t>876.4</w:t>
            </w:r>
          </w:p>
        </w:tc>
        <w:tc>
          <w:tcPr>
            <w:tcW w:type="dxa" w:w="1377"/>
          </w:tcPr>
          <w:p>
            <w:r/>
            <w:r>
              <w:rPr>
                <w:sz w:val="17"/>
              </w:rPr>
              <w:t>11.7</w:t>
            </w:r>
          </w:p>
        </w:tc>
        <w:tc>
          <w:tcPr>
            <w:tcW w:type="dxa" w:w="1377"/>
          </w:tcPr>
          <w:p>
            <w:r/>
            <w:r>
              <w:rPr>
                <w:sz w:val="17"/>
              </w:rPr>
              <w:t>71.7</w:t>
            </w:r>
          </w:p>
        </w:tc>
        <w:tc>
          <w:tcPr>
            <w:tcW w:type="dxa" w:w="1377"/>
          </w:tcPr>
          <w:p>
            <w:r/>
            <w:r>
              <w:rPr>
                <w:sz w:val="17"/>
              </w:rPr>
              <w:t>97</w:t>
            </w:r>
          </w:p>
        </w:tc>
      </w:tr>
      <w:tr>
        <w:tc>
          <w:tcPr>
            <w:tcW w:type="dxa" w:w="1377"/>
          </w:tcPr>
          <w:p>
            <w:r/>
            <w:r>
              <w:rPr>
                <w:sz w:val="17"/>
              </w:rPr>
              <w:t>PostgreSQL</w:t>
            </w:r>
          </w:p>
        </w:tc>
        <w:tc>
          <w:tcPr>
            <w:tcW w:type="dxa" w:w="1377"/>
          </w:tcPr>
          <w:p>
            <w:r/>
            <w:r>
              <w:rPr>
                <w:sz w:val="17"/>
              </w:rPr>
              <w:t>Q4-d10</w:t>
            </w:r>
          </w:p>
        </w:tc>
        <w:tc>
          <w:tcPr>
            <w:tcW w:type="dxa" w:w="1377"/>
          </w:tcPr>
          <w:p>
            <w:r/>
            <w:r>
              <w:rPr>
                <w:sz w:val="17"/>
              </w:rPr>
              <w:t>1</w:t>
            </w:r>
          </w:p>
        </w:tc>
        <w:tc>
          <w:tcPr>
            <w:tcW w:type="dxa" w:w="1377"/>
          </w:tcPr>
          <w:p>
            <w:r/>
            <w:r>
              <w:rPr>
                <w:sz w:val="17"/>
              </w:rPr>
              <w:t>22.2</w:t>
            </w:r>
          </w:p>
        </w:tc>
        <w:tc>
          <w:tcPr>
            <w:tcW w:type="dxa" w:w="1377"/>
          </w:tcPr>
          <w:p>
            <w:r/>
            <w:r>
              <w:rPr>
                <w:sz w:val="17"/>
              </w:rPr>
              <w:t>20.8</w:t>
            </w:r>
          </w:p>
        </w:tc>
        <w:tc>
          <w:tcPr>
            <w:tcW w:type="dxa" w:w="1377"/>
          </w:tcPr>
          <w:p>
            <w:r/>
            <w:r>
              <w:rPr>
                <w:sz w:val="17"/>
              </w:rPr>
              <w:t>139.5</w:t>
            </w:r>
          </w:p>
        </w:tc>
        <w:tc>
          <w:tcPr>
            <w:tcW w:type="dxa" w:w="1377"/>
          </w:tcPr>
          <w:p>
            <w:r/>
            <w:r>
              <w:rPr>
                <w:sz w:val="17"/>
              </w:rPr>
              <w:t>9</w:t>
            </w:r>
          </w:p>
        </w:tc>
      </w:tr>
      <w:tr>
        <w:tc>
          <w:tcPr>
            <w:tcW w:type="dxa" w:w="1377"/>
          </w:tcPr>
          <w:p>
            <w:r/>
            <w:r>
              <w:rPr>
                <w:sz w:val="17"/>
              </w:rPr>
              <w:t>PostgreSQL</w:t>
            </w:r>
          </w:p>
        </w:tc>
        <w:tc>
          <w:tcPr>
            <w:tcW w:type="dxa" w:w="1377"/>
          </w:tcPr>
          <w:p>
            <w:r/>
            <w:r>
              <w:rPr>
                <w:sz w:val="17"/>
              </w:rPr>
              <w:t>Q4-d10</w:t>
            </w:r>
          </w:p>
        </w:tc>
        <w:tc>
          <w:tcPr>
            <w:tcW w:type="dxa" w:w="1377"/>
          </w:tcPr>
          <w:p>
            <w:r/>
            <w:r>
              <w:rPr>
                <w:sz w:val="17"/>
              </w:rPr>
              <w:t>4</w:t>
            </w:r>
          </w:p>
        </w:tc>
        <w:tc>
          <w:tcPr>
            <w:tcW w:type="dxa" w:w="1377"/>
          </w:tcPr>
          <w:p>
            <w:r/>
            <w:r>
              <w:rPr>
                <w:sz w:val="17"/>
              </w:rPr>
              <w:t>82.8</w:t>
            </w:r>
          </w:p>
        </w:tc>
        <w:tc>
          <w:tcPr>
            <w:tcW w:type="dxa" w:w="1377"/>
          </w:tcPr>
          <w:p>
            <w:r/>
            <w:r>
              <w:rPr>
                <w:sz w:val="17"/>
              </w:rPr>
              <w:t>19.3</w:t>
            </w:r>
          </w:p>
        </w:tc>
        <w:tc>
          <w:tcPr>
            <w:tcW w:type="dxa" w:w="1377"/>
          </w:tcPr>
          <w:p>
            <w:r/>
            <w:r>
              <w:rPr>
                <w:sz w:val="17"/>
              </w:rPr>
              <w:t>162.0</w:t>
            </w:r>
          </w:p>
        </w:tc>
        <w:tc>
          <w:tcPr>
            <w:tcW w:type="dxa" w:w="1377"/>
          </w:tcPr>
          <w:p>
            <w:r/>
            <w:r>
              <w:rPr>
                <w:sz w:val="17"/>
              </w:rPr>
              <w:t>27</w:t>
            </w:r>
          </w:p>
        </w:tc>
      </w:tr>
      <w:tr>
        <w:tc>
          <w:tcPr>
            <w:tcW w:type="dxa" w:w="1377"/>
          </w:tcPr>
          <w:p>
            <w:r/>
            <w:r>
              <w:rPr>
                <w:sz w:val="17"/>
              </w:rPr>
              <w:t>PostgreSQL</w:t>
            </w:r>
          </w:p>
        </w:tc>
        <w:tc>
          <w:tcPr>
            <w:tcW w:type="dxa" w:w="1377"/>
          </w:tcPr>
          <w:p>
            <w:r/>
            <w:r>
              <w:rPr>
                <w:sz w:val="17"/>
              </w:rPr>
              <w:t>Q4-d10</w:t>
            </w:r>
          </w:p>
        </w:tc>
        <w:tc>
          <w:tcPr>
            <w:tcW w:type="dxa" w:w="1377"/>
          </w:tcPr>
          <w:p>
            <w:r/>
            <w:r>
              <w:rPr>
                <w:sz w:val="17"/>
              </w:rPr>
              <w:t>8</w:t>
            </w:r>
          </w:p>
        </w:tc>
        <w:tc>
          <w:tcPr>
            <w:tcW w:type="dxa" w:w="1377"/>
          </w:tcPr>
          <w:p>
            <w:r/>
            <w:r>
              <w:rPr>
                <w:sz w:val="17"/>
              </w:rPr>
              <w:t>120.9</w:t>
            </w:r>
          </w:p>
        </w:tc>
        <w:tc>
          <w:tcPr>
            <w:tcW w:type="dxa" w:w="1377"/>
          </w:tcPr>
          <w:p>
            <w:r/>
            <w:r>
              <w:rPr>
                <w:sz w:val="17"/>
              </w:rPr>
              <w:t>22.3</w:t>
            </w:r>
          </w:p>
        </w:tc>
        <w:tc>
          <w:tcPr>
            <w:tcW w:type="dxa" w:w="1377"/>
          </w:tcPr>
          <w:p>
            <w:r/>
            <w:r>
              <w:rPr>
                <w:sz w:val="17"/>
              </w:rPr>
              <w:t>210.8</w:t>
            </w:r>
          </w:p>
        </w:tc>
        <w:tc>
          <w:tcPr>
            <w:tcW w:type="dxa" w:w="1377"/>
          </w:tcPr>
          <w:p>
            <w:r/>
            <w:r>
              <w:rPr>
                <w:sz w:val="17"/>
              </w:rPr>
              <w:t>98</w:t>
            </w:r>
          </w:p>
        </w:tc>
      </w:tr>
      <w:tr>
        <w:tc>
          <w:tcPr>
            <w:tcW w:type="dxa" w:w="1377"/>
          </w:tcPr>
          <w:p>
            <w:r/>
            <w:r>
              <w:rPr>
                <w:sz w:val="17"/>
              </w:rPr>
              <w:t>PostgreSQL</w:t>
            </w:r>
          </w:p>
        </w:tc>
        <w:tc>
          <w:tcPr>
            <w:tcW w:type="dxa" w:w="1377"/>
          </w:tcPr>
          <w:p>
            <w:r/>
            <w:r>
              <w:rPr>
                <w:sz w:val="17"/>
              </w:rPr>
              <w:t>Q4-d10</w:t>
            </w:r>
          </w:p>
        </w:tc>
        <w:tc>
          <w:tcPr>
            <w:tcW w:type="dxa" w:w="1377"/>
          </w:tcPr>
          <w:p>
            <w:r/>
            <w:r>
              <w:rPr>
                <w:sz w:val="17"/>
              </w:rPr>
              <w:t>16</w:t>
            </w:r>
          </w:p>
        </w:tc>
        <w:tc>
          <w:tcPr>
            <w:tcW w:type="dxa" w:w="1377"/>
          </w:tcPr>
          <w:p>
            <w:r/>
            <w:r>
              <w:rPr>
                <w:sz w:val="17"/>
              </w:rPr>
              <w:t>115.7</w:t>
            </w:r>
          </w:p>
        </w:tc>
        <w:tc>
          <w:tcPr>
            <w:tcW w:type="dxa" w:w="1377"/>
          </w:tcPr>
          <w:p>
            <w:r/>
            <w:r>
              <w:rPr>
                <w:sz w:val="17"/>
              </w:rPr>
              <w:t>31.5</w:t>
            </w:r>
          </w:p>
        </w:tc>
        <w:tc>
          <w:tcPr>
            <w:tcW w:type="dxa" w:w="1377"/>
          </w:tcPr>
          <w:p>
            <w:r/>
            <w:r>
              <w:rPr>
                <w:sz w:val="17"/>
              </w:rPr>
              <w:t>464.4</w:t>
            </w:r>
          </w:p>
        </w:tc>
        <w:tc>
          <w:tcPr>
            <w:tcW w:type="dxa" w:w="1377"/>
          </w:tcPr>
          <w:p>
            <w:r/>
            <w:r>
              <w:rPr>
                <w:sz w:val="17"/>
              </w:rPr>
              <w:t>98</w:t>
            </w:r>
          </w:p>
        </w:tc>
      </w:tr>
      <w:tr>
        <w:tc>
          <w:tcPr>
            <w:tcW w:type="dxa" w:w="1377"/>
          </w:tcPr>
          <w:p>
            <w:r/>
            <w:r>
              <w:rPr>
                <w:sz w:val="17"/>
              </w:rPr>
              <w:t>PostgreSQL</w:t>
            </w:r>
          </w:p>
        </w:tc>
        <w:tc>
          <w:tcPr>
            <w:tcW w:type="dxa" w:w="1377"/>
          </w:tcPr>
          <w:p>
            <w:r/>
            <w:r>
              <w:rPr>
                <w:sz w:val="17"/>
              </w:rPr>
              <w:t>Q7-b6</w:t>
            </w:r>
          </w:p>
        </w:tc>
        <w:tc>
          <w:tcPr>
            <w:tcW w:type="dxa" w:w="1377"/>
          </w:tcPr>
          <w:p>
            <w:r/>
            <w:r>
              <w:rPr>
                <w:sz w:val="17"/>
              </w:rPr>
              <w:t>1</w:t>
            </w:r>
          </w:p>
        </w:tc>
        <w:tc>
          <w:tcPr>
            <w:tcW w:type="dxa" w:w="1377"/>
          </w:tcPr>
          <w:p>
            <w:r/>
            <w:r>
              <w:rPr>
                <w:sz w:val="17"/>
              </w:rPr>
              <w:t>6.8</w:t>
            </w:r>
          </w:p>
        </w:tc>
        <w:tc>
          <w:tcPr>
            <w:tcW w:type="dxa" w:w="1377"/>
          </w:tcPr>
          <w:p>
            <w:r/>
            <w:r>
              <w:rPr>
                <w:sz w:val="17"/>
              </w:rPr>
              <w:t>163.2</w:t>
            </w:r>
          </w:p>
        </w:tc>
        <w:tc>
          <w:tcPr>
            <w:tcW w:type="dxa" w:w="1377"/>
          </w:tcPr>
          <w:p>
            <w:r/>
            <w:r>
              <w:rPr>
                <w:sz w:val="17"/>
              </w:rPr>
              <w:t>204.4</w:t>
            </w:r>
          </w:p>
        </w:tc>
        <w:tc>
          <w:tcPr>
            <w:tcW w:type="dxa" w:w="1377"/>
          </w:tcPr>
          <w:p>
            <w:r/>
            <w:r>
              <w:rPr>
                <w:sz w:val="17"/>
              </w:rPr>
              <w:t>10</w:t>
            </w:r>
          </w:p>
        </w:tc>
      </w:tr>
      <w:tr>
        <w:tc>
          <w:tcPr>
            <w:tcW w:type="dxa" w:w="1377"/>
          </w:tcPr>
          <w:p>
            <w:r/>
            <w:r>
              <w:rPr>
                <w:sz w:val="17"/>
              </w:rPr>
              <w:t>PostgreSQL</w:t>
            </w:r>
          </w:p>
        </w:tc>
        <w:tc>
          <w:tcPr>
            <w:tcW w:type="dxa" w:w="1377"/>
          </w:tcPr>
          <w:p>
            <w:r/>
            <w:r>
              <w:rPr>
                <w:sz w:val="17"/>
              </w:rPr>
              <w:t>Q7-b6</w:t>
            </w:r>
          </w:p>
        </w:tc>
        <w:tc>
          <w:tcPr>
            <w:tcW w:type="dxa" w:w="1377"/>
          </w:tcPr>
          <w:p>
            <w:r/>
            <w:r>
              <w:rPr>
                <w:sz w:val="17"/>
              </w:rPr>
              <w:t>4</w:t>
            </w:r>
          </w:p>
        </w:tc>
        <w:tc>
          <w:tcPr>
            <w:tcW w:type="dxa" w:w="1377"/>
          </w:tcPr>
          <w:p>
            <w:r/>
            <w:r>
              <w:rPr>
                <w:sz w:val="17"/>
              </w:rPr>
              <w:t>22.5</w:t>
            </w:r>
          </w:p>
        </w:tc>
        <w:tc>
          <w:tcPr>
            <w:tcW w:type="dxa" w:w="1377"/>
          </w:tcPr>
          <w:p>
            <w:r/>
            <w:r>
              <w:rPr>
                <w:sz w:val="17"/>
              </w:rPr>
              <w:t>190.9</w:t>
            </w:r>
          </w:p>
        </w:tc>
        <w:tc>
          <w:tcPr>
            <w:tcW w:type="dxa" w:w="1377"/>
          </w:tcPr>
          <w:p>
            <w:r/>
            <w:r>
              <w:rPr>
                <w:sz w:val="17"/>
              </w:rPr>
              <w:t>264.8</w:t>
            </w:r>
          </w:p>
        </w:tc>
        <w:tc>
          <w:tcPr>
            <w:tcW w:type="dxa" w:w="1377"/>
          </w:tcPr>
          <w:p>
            <w:r/>
            <w:r>
              <w:rPr>
                <w:sz w:val="17"/>
              </w:rPr>
              <w:t>29</w:t>
            </w:r>
          </w:p>
        </w:tc>
      </w:tr>
      <w:tr>
        <w:tc>
          <w:tcPr>
            <w:tcW w:type="dxa" w:w="1377"/>
          </w:tcPr>
          <w:p>
            <w:r/>
            <w:r>
              <w:rPr>
                <w:sz w:val="17"/>
              </w:rPr>
              <w:t>PostgreSQL</w:t>
            </w:r>
          </w:p>
        </w:tc>
        <w:tc>
          <w:tcPr>
            <w:tcW w:type="dxa" w:w="1377"/>
          </w:tcPr>
          <w:p>
            <w:r/>
            <w:r>
              <w:rPr>
                <w:sz w:val="17"/>
              </w:rPr>
              <w:t>Q7-b6</w:t>
            </w:r>
          </w:p>
        </w:tc>
        <w:tc>
          <w:tcPr>
            <w:tcW w:type="dxa" w:w="1377"/>
          </w:tcPr>
          <w:p>
            <w:r/>
            <w:r>
              <w:rPr>
                <w:sz w:val="17"/>
              </w:rPr>
              <w:t>8</w:t>
            </w:r>
          </w:p>
        </w:tc>
        <w:tc>
          <w:tcPr>
            <w:tcW w:type="dxa" w:w="1377"/>
          </w:tcPr>
          <w:p>
            <w:r/>
            <w:r>
              <w:rPr>
                <w:sz w:val="17"/>
              </w:rPr>
              <w:t>28.8</w:t>
            </w:r>
          </w:p>
        </w:tc>
        <w:tc>
          <w:tcPr>
            <w:tcW w:type="dxa" w:w="1377"/>
          </w:tcPr>
          <w:p>
            <w:r/>
            <w:r>
              <w:rPr>
                <w:sz w:val="17"/>
              </w:rPr>
              <w:t>283.0</w:t>
            </w:r>
          </w:p>
        </w:tc>
        <w:tc>
          <w:tcPr>
            <w:tcW w:type="dxa" w:w="1377"/>
          </w:tcPr>
          <w:p>
            <w:r/>
            <w:r>
              <w:rPr>
                <w:sz w:val="17"/>
              </w:rPr>
              <w:t>391.3</w:t>
            </w:r>
          </w:p>
        </w:tc>
        <w:tc>
          <w:tcPr>
            <w:tcW w:type="dxa" w:w="1377"/>
          </w:tcPr>
          <w:p>
            <w:r/>
            <w:r>
              <w:rPr>
                <w:sz w:val="17"/>
              </w:rPr>
              <w:t>97</w:t>
            </w:r>
          </w:p>
        </w:tc>
      </w:tr>
      <w:tr>
        <w:tc>
          <w:tcPr>
            <w:tcW w:type="dxa" w:w="1377"/>
          </w:tcPr>
          <w:p>
            <w:r/>
            <w:r>
              <w:rPr>
                <w:sz w:val="17"/>
              </w:rPr>
              <w:t>PostgreSQL</w:t>
            </w:r>
          </w:p>
        </w:tc>
        <w:tc>
          <w:tcPr>
            <w:tcW w:type="dxa" w:w="1377"/>
          </w:tcPr>
          <w:p>
            <w:r/>
            <w:r>
              <w:rPr>
                <w:sz w:val="17"/>
              </w:rPr>
              <w:t>Q7-b6</w:t>
            </w:r>
          </w:p>
        </w:tc>
        <w:tc>
          <w:tcPr>
            <w:tcW w:type="dxa" w:w="1377"/>
          </w:tcPr>
          <w:p>
            <w:r/>
            <w:r>
              <w:rPr>
                <w:sz w:val="17"/>
              </w:rPr>
              <w:t>16</w:t>
            </w:r>
          </w:p>
        </w:tc>
        <w:tc>
          <w:tcPr>
            <w:tcW w:type="dxa" w:w="1377"/>
          </w:tcPr>
          <w:p>
            <w:r/>
            <w:r>
              <w:rPr>
                <w:sz w:val="17"/>
              </w:rPr>
              <w:t>27.8</w:t>
            </w:r>
          </w:p>
        </w:tc>
        <w:tc>
          <w:tcPr>
            <w:tcW w:type="dxa" w:w="1377"/>
          </w:tcPr>
          <w:p>
            <w:r/>
            <w:r>
              <w:rPr>
                <w:sz w:val="17"/>
              </w:rPr>
              <w:t>524.0</w:t>
            </w:r>
          </w:p>
        </w:tc>
        <w:tc>
          <w:tcPr>
            <w:tcW w:type="dxa" w:w="1377"/>
          </w:tcPr>
          <w:p>
            <w:r/>
            <w:r>
              <w:rPr>
                <w:sz w:val="17"/>
              </w:rPr>
              <w:t>925.8</w:t>
            </w:r>
          </w:p>
        </w:tc>
        <w:tc>
          <w:tcPr>
            <w:tcW w:type="dxa" w:w="1377"/>
          </w:tcPr>
          <w:p>
            <w:r/>
            <w:r>
              <w:rPr>
                <w:sz w:val="17"/>
              </w:rPr>
              <w:t>99</w:t>
            </w:r>
          </w:p>
        </w:tc>
      </w:tr>
    </w:tbl>
    <w:p/>
    <w:p>
      <w:pPr>
        <w:jc w:val="center"/>
      </w:pPr>
      <w:r>
        <w:drawing>
          <wp:inline xmlns:a="http://schemas.openxmlformats.org/drawingml/2006/main" xmlns:pic="http://schemas.openxmlformats.org/drawingml/2006/picture">
            <wp:extent cx="6120000" cy="2093180"/>
            <wp:docPr id="41" name="Picture 41"/>
            <wp:cNvGraphicFramePr>
              <a:graphicFrameLocks noChangeAspect="1"/>
            </wp:cNvGraphicFramePr>
            <a:graphic>
              <a:graphicData uri="http://schemas.openxmlformats.org/drawingml/2006/picture">
                <pic:pic>
                  <pic:nvPicPr>
                    <pic:cNvPr id="0" name="7.1_pg_load.png"/>
                    <pic:cNvPicPr/>
                  </pic:nvPicPr>
                  <pic:blipFill>
                    <a:blip r:embed="rId50"/>
                    <a:stretch>
                      <a:fillRect/>
                    </a:stretch>
                  </pic:blipFill>
                  <pic:spPr>
                    <a:xfrm>
                      <a:off x="0" y="0"/>
                      <a:ext cx="6120000" cy="2093180"/>
                    </a:xfrm>
                    <a:prstGeom prst="rect"/>
                  </pic:spPr>
                </pic:pic>
              </a:graphicData>
            </a:graphic>
          </wp:inline>
        </w:drawing>
      </w:r>
    </w:p>
    <w:p>
      <w:pPr>
        <w:jc w:val="center"/>
      </w:pPr>
      <w:r>
        <w:rPr>
          <w:b w:val="0"/>
          <w:i/>
          <w:sz w:val="18"/>
        </w:rPr>
        <w:t>Figure 41. PostgreSQL load test: 24 repetitions.</w:t>
      </w:r>
    </w:p>
    <w:p>
      <w:pPr>
        <w:jc w:val="center"/>
      </w:pPr>
      <w:r>
        <w:drawing>
          <wp:inline xmlns:a="http://schemas.openxmlformats.org/drawingml/2006/main" xmlns:pic="http://schemas.openxmlformats.org/drawingml/2006/picture">
            <wp:extent cx="6120000" cy="2418644"/>
            <wp:docPr id="42" name="Picture 42"/>
            <wp:cNvGraphicFramePr>
              <a:graphicFrameLocks noChangeAspect="1"/>
            </wp:cNvGraphicFramePr>
            <a:graphic>
              <a:graphicData uri="http://schemas.openxmlformats.org/drawingml/2006/picture">
                <pic:pic>
                  <pic:nvPicPr>
                    <pic:cNvPr id="0" name="7.1_neo_load.png"/>
                    <pic:cNvPicPr/>
                  </pic:nvPicPr>
                  <pic:blipFill>
                    <a:blip r:embed="rId51"/>
                    <a:stretch>
                      <a:fillRect/>
                    </a:stretch>
                  </pic:blipFill>
                  <pic:spPr>
                    <a:xfrm>
                      <a:off x="0" y="0"/>
                      <a:ext cx="6120000" cy="2418644"/>
                    </a:xfrm>
                    <a:prstGeom prst="rect"/>
                  </pic:spPr>
                </pic:pic>
              </a:graphicData>
            </a:graphic>
          </wp:inline>
        </w:drawing>
      </w:r>
    </w:p>
    <w:p>
      <w:pPr>
        <w:jc w:val="center"/>
      </w:pPr>
      <w:r>
        <w:rPr>
          <w:b w:val="0"/>
          <w:i/>
          <w:sz w:val="18"/>
        </w:rPr>
        <w:t>Figure 42. Neo4j load test: 24 repetitions.</w:t>
      </w:r>
    </w:p>
    <w:p>
      <w:pPr>
        <w:jc w:val="center"/>
      </w:pPr>
      <w:r>
        <w:drawing>
          <wp:inline xmlns:a="http://schemas.openxmlformats.org/drawingml/2006/main" xmlns:pic="http://schemas.openxmlformats.org/drawingml/2006/picture">
            <wp:extent cx="6120000" cy="3439708"/>
            <wp:docPr id="43" name="Picture 43"/>
            <wp:cNvGraphicFramePr>
              <a:graphicFrameLocks noChangeAspect="1"/>
            </wp:cNvGraphicFramePr>
            <a:graphic>
              <a:graphicData uri="http://schemas.openxmlformats.org/drawingml/2006/picture">
                <pic:pic>
                  <pic:nvPicPr>
                    <pic:cNvPr id="0" name="7.1_pg_active_clients.png"/>
                    <pic:cNvPicPr/>
                  </pic:nvPicPr>
                  <pic:blipFill>
                    <a:blip r:embed="rId52"/>
                    <a:stretch>
                      <a:fillRect/>
                    </a:stretch>
                  </pic:blipFill>
                  <pic:spPr>
                    <a:xfrm>
                      <a:off x="0" y="0"/>
                      <a:ext cx="6120000" cy="3439708"/>
                    </a:xfrm>
                    <a:prstGeom prst="rect"/>
                  </pic:spPr>
                </pic:pic>
              </a:graphicData>
            </a:graphic>
          </wp:inline>
        </w:drawing>
      </w:r>
    </w:p>
    <w:p>
      <w:pPr>
        <w:jc w:val="center"/>
      </w:pPr>
      <w:r>
        <w:rPr>
          <w:b w:val="0"/>
          <w:i/>
          <w:sz w:val="18"/>
        </w:rPr>
        <w:t>Figure 43. Active client processes during a 16-client test (Task Manager).</w:t>
      </w:r>
    </w:p>
    <w:p>
      <w:pPr>
        <w:jc w:val="center"/>
      </w:pPr>
      <w:r>
        <w:drawing>
          <wp:inline xmlns:a="http://schemas.openxmlformats.org/drawingml/2006/main" xmlns:pic="http://schemas.openxmlformats.org/drawingml/2006/picture">
            <wp:extent cx="6120000" cy="1901731"/>
            <wp:docPr id="44" name="Picture 44"/>
            <wp:cNvGraphicFramePr>
              <a:graphicFrameLocks noChangeAspect="1"/>
            </wp:cNvGraphicFramePr>
            <a:graphic>
              <a:graphicData uri="http://schemas.openxmlformats.org/drawingml/2006/picture">
                <pic:pic>
                  <pic:nvPicPr>
                    <pic:cNvPr id="0" name="7.1_summary.png"/>
                    <pic:cNvPicPr/>
                  </pic:nvPicPr>
                  <pic:blipFill>
                    <a:blip r:embed="rId53"/>
                    <a:stretch>
                      <a:fillRect/>
                    </a:stretch>
                  </pic:blipFill>
                  <pic:spPr>
                    <a:xfrm>
                      <a:off x="0" y="0"/>
                      <a:ext cx="6120000" cy="1901731"/>
                    </a:xfrm>
                    <a:prstGeom prst="rect"/>
                  </pic:spPr>
                </pic:pic>
              </a:graphicData>
            </a:graphic>
          </wp:inline>
        </w:drawing>
      </w:r>
    </w:p>
    <w:p>
      <w:pPr>
        <w:jc w:val="center"/>
      </w:pPr>
      <w:r>
        <w:rPr>
          <w:b w:val="0"/>
          <w:i/>
          <w:sz w:val="18"/>
        </w:rPr>
        <w:t>Figure 44. All 16 engine/workload/client-count summaries.</w:t>
      </w:r>
    </w:p>
    <w:p>
      <w:pPr>
        <w:pStyle w:val="Heading2"/>
      </w:pPr>
      <w:r>
        <w:t>7.2 Scaling</w:t>
      </w:r>
    </w:p>
    <w:p>
      <w:pPr>
        <w:jc w:val="center"/>
      </w:pPr>
      <w:r>
        <w:drawing>
          <wp:inline xmlns:a="http://schemas.openxmlformats.org/drawingml/2006/main" xmlns:pic="http://schemas.openxmlformats.org/drawingml/2006/picture">
            <wp:extent cx="6120000" cy="2353846"/>
            <wp:docPr id="45" name="Picture 45"/>
            <wp:cNvGraphicFramePr>
              <a:graphicFrameLocks noChangeAspect="1"/>
            </wp:cNvGraphicFramePr>
            <a:graphic>
              <a:graphicData uri="http://schemas.openxmlformats.org/drawingml/2006/picture">
                <pic:pic>
                  <pic:nvPicPr>
                    <pic:cNvPr id="0" name="loadtest.png"/>
                    <pic:cNvPicPr/>
                  </pic:nvPicPr>
                  <pic:blipFill>
                    <a:blip r:embed="rId54"/>
                    <a:stretch>
                      <a:fillRect/>
                    </a:stretch>
                  </pic:blipFill>
                  <pic:spPr>
                    <a:xfrm>
                      <a:off x="0" y="0"/>
                      <a:ext cx="6120000" cy="2353846"/>
                    </a:xfrm>
                    <a:prstGeom prst="rect"/>
                  </pic:spPr>
                </pic:pic>
              </a:graphicData>
            </a:graphic>
          </wp:inline>
        </w:drawing>
      </w:r>
    </w:p>
    <w:p>
      <w:pPr>
        <w:jc w:val="center"/>
      </w:pPr>
      <w:r>
        <w:rPr>
          <w:b w:val="0"/>
          <w:i/>
          <w:sz w:val="18"/>
        </w:rPr>
        <w:t>Figure 45. Throughput and p95 latency against client count.</w:t>
      </w:r>
    </w:p>
    <w:p>
      <w:r>
        <w:rPr>
          <w:b w:val="0"/>
          <w:i w:val="0"/>
        </w:rPr>
        <w:t>Both engines scale almost linearly from 1 to 4 clients, then flatten: average CPU rises from 9–30% at 4 clients to 96–99% at 8 and 16, so the 8 hardware threads (shared by clients and database) are saturated. From 8 to 16 clients throughput stays flat or falls slightly while p95 roughly doubles (PostgreSQL Q4 211→464 ms; Neo4j Q7 17→72 ms): extra clients only queue. Throughput is total completed work per second; response time is what one analyst waits. At 16 clients PostgreSQL still completes ≈116 Q4 requests/s, but an analyst's p95 wait is 0.46 s instead of 0.14 s. In this experiment the graph advantage survives the SQL improvement: at 8 clients Neo4j handled ≈12× (Q4) and ≈30× (Q7) more requests per second. Limits: one laptop, clients and server on the same CPU, three accounts, 15 s windows, warm caches.</w:t>
      </w:r>
    </w:p>
    <w:p>
      <w:r>
        <w:br w:type="page"/>
      </w:r>
    </w:p>
    <w:p>
      <w:pPr>
        <w:pStyle w:val="Heading1"/>
      </w:pPr>
      <w:r>
        <w:t>8 Decisions</w:t>
      </w:r>
    </w:p>
    <w:p>
      <w:pPr>
        <w:pStyle w:val="Heading2"/>
      </w:pPr>
      <w:r>
        <w:t>8.1 Investigation priority</w:t>
      </w:r>
    </w:p>
    <w:tbl>
      <w:tblPr>
        <w:tblStyle w:val="LightGrid-Accent1"/>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r/>
            <w:r>
              <w:rPr>
                <w:b/>
                <w:sz w:val="17"/>
              </w:rPr>
              <w:t>Pair</w:t>
            </w:r>
          </w:p>
        </w:tc>
        <w:tc>
          <w:tcPr>
            <w:tcW w:type="dxa" w:w="1377"/>
          </w:tcPr>
          <w:p>
            <w:r/>
            <w:r>
              <w:rPr>
                <w:b/>
                <w:sz w:val="17"/>
              </w:rPr>
              <w:t>Q3 devices</w:t>
            </w:r>
          </w:p>
        </w:tc>
        <w:tc>
          <w:tcPr>
            <w:tcW w:type="dxa" w:w="1377"/>
          </w:tcPr>
          <w:p>
            <w:r/>
            <w:r>
              <w:rPr>
                <w:b/>
                <w:sz w:val="17"/>
              </w:rPr>
              <w:t>Q4 d10</w:t>
            </w:r>
          </w:p>
        </w:tc>
        <w:tc>
          <w:tcPr>
            <w:tcW w:type="dxa" w:w="1377"/>
          </w:tcPr>
          <w:p>
            <w:r/>
            <w:r>
              <w:rPr>
                <w:b/>
                <w:sz w:val="17"/>
              </w:rPr>
              <w:t>Q5 chains</w:t>
            </w:r>
          </w:p>
        </w:tc>
        <w:tc>
          <w:tcPr>
            <w:tcW w:type="dxa" w:w="1377"/>
          </w:tcPr>
          <w:p>
            <w:r/>
            <w:r>
              <w:rPr>
                <w:b/>
                <w:sz w:val="17"/>
              </w:rPr>
              <w:t>Q6 cycles</w:t>
            </w:r>
          </w:p>
        </w:tc>
        <w:tc>
          <w:tcPr>
            <w:tcW w:type="dxa" w:w="1377"/>
          </w:tcPr>
          <w:p>
            <w:r/>
            <w:r>
              <w:rPr>
                <w:b/>
                <w:sz w:val="17"/>
              </w:rPr>
              <w:t>Q7 ≤4 / ≤6</w:t>
            </w:r>
          </w:p>
        </w:tc>
        <w:tc>
          <w:tcPr>
            <w:tcW w:type="dxa" w:w="1377"/>
          </w:tcPr>
          <w:p>
            <w:r/>
            <w:r>
              <w:rPr>
                <w:b/>
                <w:sz w:val="17"/>
              </w:rPr>
              <w:t>Review first</w:t>
            </w:r>
          </w:p>
        </w:tc>
      </w:tr>
      <w:tr>
        <w:tc>
          <w:tcPr>
            <w:tcW w:type="dxa" w:w="1377"/>
          </w:tcPr>
          <w:p>
            <w:r/>
            <w:r>
              <w:rPr>
                <w:sz w:val="17"/>
              </w:rPr>
              <w:t>A 998 / D 237998</w:t>
            </w:r>
          </w:p>
        </w:tc>
        <w:tc>
          <w:tcPr>
            <w:tcW w:type="dxa" w:w="1377"/>
          </w:tcPr>
          <w:p>
            <w:r/>
            <w:r>
              <w:rPr>
                <w:sz w:val="17"/>
              </w:rPr>
              <w:t>4 / 4</w:t>
            </w:r>
          </w:p>
        </w:tc>
        <w:tc>
          <w:tcPr>
            <w:tcW w:type="dxa" w:w="1377"/>
          </w:tcPr>
          <w:p>
            <w:r/>
            <w:r>
              <w:rPr>
                <w:sz w:val="17"/>
              </w:rPr>
              <w:t>187 / 192</w:t>
            </w:r>
          </w:p>
        </w:tc>
        <w:tc>
          <w:tcPr>
            <w:tcW w:type="dxa" w:w="1377"/>
          </w:tcPr>
          <w:p>
            <w:r/>
            <w:r>
              <w:rPr>
                <w:sz w:val="17"/>
              </w:rPr>
              <w:t>1 / 0</w:t>
            </w:r>
          </w:p>
        </w:tc>
        <w:tc>
          <w:tcPr>
            <w:tcW w:type="dxa" w:w="1377"/>
          </w:tcPr>
          <w:p>
            <w:r/>
            <w:r>
              <w:rPr>
                <w:sz w:val="17"/>
              </w:rPr>
              <w:t>1 (4 hops) / 0</w:t>
            </w:r>
          </w:p>
        </w:tc>
        <w:tc>
          <w:tcPr>
            <w:tcW w:type="dxa" w:w="1377"/>
          </w:tcPr>
          <w:p>
            <w:r/>
            <w:r>
              <w:rPr>
                <w:sz w:val="17"/>
              </w:rPr>
              <w:t>3,3 / 3,3</w:t>
            </w:r>
          </w:p>
        </w:tc>
        <w:tc>
          <w:tcPr>
            <w:tcW w:type="dxa" w:w="1377"/>
          </w:tcPr>
          <w:p>
            <w:r/>
            <w:r>
              <w:rPr>
                <w:sz w:val="17"/>
              </w:rPr>
              <w:t>A</w:t>
            </w:r>
          </w:p>
        </w:tc>
      </w:tr>
      <w:tr>
        <w:tc>
          <w:tcPr>
            <w:tcW w:type="dxa" w:w="1377"/>
          </w:tcPr>
          <w:p>
            <w:r/>
            <w:r>
              <w:rPr>
                <w:sz w:val="17"/>
              </w:rPr>
              <w:t>B 147228 / E 144228</w:t>
            </w:r>
          </w:p>
        </w:tc>
        <w:tc>
          <w:tcPr>
            <w:tcW w:type="dxa" w:w="1377"/>
          </w:tcPr>
          <w:p>
            <w:r/>
            <w:r>
              <w:rPr>
                <w:sz w:val="17"/>
              </w:rPr>
              <w:t>9 / 9</w:t>
            </w:r>
          </w:p>
        </w:tc>
        <w:tc>
          <w:tcPr>
            <w:tcW w:type="dxa" w:w="1377"/>
          </w:tcPr>
          <w:p>
            <w:r/>
            <w:r>
              <w:rPr>
                <w:sz w:val="17"/>
              </w:rPr>
              <w:t>228 / 230</w:t>
            </w:r>
          </w:p>
        </w:tc>
        <w:tc>
          <w:tcPr>
            <w:tcW w:type="dxa" w:w="1377"/>
          </w:tcPr>
          <w:p>
            <w:r/>
            <w:r>
              <w:rPr>
                <w:sz w:val="17"/>
              </w:rPr>
              <w:t>1 / 0</w:t>
            </w:r>
          </w:p>
        </w:tc>
        <w:tc>
          <w:tcPr>
            <w:tcW w:type="dxa" w:w="1377"/>
          </w:tcPr>
          <w:p>
            <w:r/>
            <w:r>
              <w:rPr>
                <w:sz w:val="17"/>
              </w:rPr>
              <w:t>0 / 0</w:t>
            </w:r>
          </w:p>
        </w:tc>
        <w:tc>
          <w:tcPr>
            <w:tcW w:type="dxa" w:w="1377"/>
          </w:tcPr>
          <w:p>
            <w:r/>
            <w:r>
              <w:rPr>
                <w:sz w:val="17"/>
              </w:rPr>
              <w:t>–,5 / –,5</w:t>
            </w:r>
          </w:p>
        </w:tc>
        <w:tc>
          <w:tcPr>
            <w:tcW w:type="dxa" w:w="1377"/>
          </w:tcPr>
          <w:p>
            <w:r/>
            <w:r>
              <w:rPr>
                <w:sz w:val="17"/>
              </w:rPr>
              <w:t>B</w:t>
            </w:r>
          </w:p>
        </w:tc>
      </w:tr>
      <w:tr>
        <w:tc>
          <w:tcPr>
            <w:tcW w:type="dxa" w:w="1377"/>
          </w:tcPr>
          <w:p>
            <w:r/>
            <w:r>
              <w:rPr>
                <w:sz w:val="17"/>
              </w:rPr>
              <w:t>C 206978 / F 203978</w:t>
            </w:r>
          </w:p>
        </w:tc>
        <w:tc>
          <w:tcPr>
            <w:tcW w:type="dxa" w:w="1377"/>
          </w:tcPr>
          <w:p>
            <w:r/>
            <w:r>
              <w:rPr>
                <w:sz w:val="17"/>
              </w:rPr>
              <w:t>9 / 9</w:t>
            </w:r>
          </w:p>
        </w:tc>
        <w:tc>
          <w:tcPr>
            <w:tcW w:type="dxa" w:w="1377"/>
          </w:tcPr>
          <w:p>
            <w:r/>
            <w:r>
              <w:rPr>
                <w:sz w:val="17"/>
              </w:rPr>
              <w:t>1,433 / 1,426</w:t>
            </w:r>
          </w:p>
        </w:tc>
        <w:tc>
          <w:tcPr>
            <w:tcW w:type="dxa" w:w="1377"/>
          </w:tcPr>
          <w:p>
            <w:r/>
            <w:r>
              <w:rPr>
                <w:sz w:val="17"/>
              </w:rPr>
              <w:t>1 / 0</w:t>
            </w:r>
          </w:p>
        </w:tc>
        <w:tc>
          <w:tcPr>
            <w:tcW w:type="dxa" w:w="1377"/>
          </w:tcPr>
          <w:p>
            <w:r/>
            <w:r>
              <w:rPr>
                <w:sz w:val="17"/>
              </w:rPr>
              <w:t>1 (6 hops) / 0</w:t>
            </w:r>
          </w:p>
        </w:tc>
        <w:tc>
          <w:tcPr>
            <w:tcW w:type="dxa" w:w="1377"/>
          </w:tcPr>
          <w:p>
            <w:r/>
            <w:r>
              <w:rPr>
                <w:sz w:val="17"/>
              </w:rPr>
              <w:t>–,5 / –,5</w:t>
            </w:r>
          </w:p>
        </w:tc>
        <w:tc>
          <w:tcPr>
            <w:tcW w:type="dxa" w:w="1377"/>
          </w:tcPr>
          <w:p>
            <w:r/>
            <w:r>
              <w:rPr>
                <w:sz w:val="17"/>
              </w:rPr>
              <w:t>C</w:t>
            </w:r>
          </w:p>
        </w:tc>
      </w:tr>
    </w:tbl>
    <w:p/>
    <w:p>
      <w:r>
        <w:rPr>
          <w:b w:val="0"/>
          <w:i w:val="0"/>
        </w:rPr>
        <w:t>Within each pair, device sharing, network size and shortest routes are almost identical; the difference is the money pattern. A, B and C each show a rapid onward chain within their review hour (A and C also a cycle); D, E and F show none. D/E/F still reach their destinations, but through payments days apart (D: 45,000 RWF on 6, 8 and 10 September).</w:t>
      </w:r>
    </w:p>
    <w:p>
      <w:r>
        <w:rPr>
          <w:b w:val="0"/>
          <w:i w:val="0"/>
        </w:rPr>
        <w:t>A vs D in detail: on 6 September at 10:00:00, 998 sent 200,000 RWF to 8917; 40 s later 8917 sent 196,000 to 16836; at 10:01:20 16836 sent 192,080 to 24755; at 10:02:00 24755 returned 188,238 to 998. All four person accounts were observed on handset 228001 for the whole month. D (237998) has a similar device network, but its 45,000 RWF payments to 5917 → 13836 → 21755 are two days apart and never return.</w:t>
      </w:r>
    </w:p>
    <w:p>
      <w:pPr>
        <w:jc w:val="center"/>
      </w:pPr>
      <w:r>
        <w:drawing>
          <wp:inline xmlns:a="http://schemas.openxmlformats.org/drawingml/2006/main" xmlns:pic="http://schemas.openxmlformats.org/drawingml/2006/picture">
            <wp:extent cx="6120000" cy="4508165"/>
            <wp:docPr id="46" name="Picture 46"/>
            <wp:cNvGraphicFramePr>
              <a:graphicFrameLocks noChangeAspect="1"/>
            </wp:cNvGraphicFramePr>
            <a:graphic>
              <a:graphicData uri="http://schemas.openxmlformats.org/drawingml/2006/picture">
                <pic:pic>
                  <pic:nvPicPr>
                    <pic:cNvPr id="0" name="cycle_A.png"/>
                    <pic:cNvPicPr/>
                  </pic:nvPicPr>
                  <pic:blipFill>
                    <a:blip r:embed="rId55"/>
                    <a:stretch>
                      <a:fillRect/>
                    </a:stretch>
                  </pic:blipFill>
                  <pic:spPr>
                    <a:xfrm>
                      <a:off x="0" y="0"/>
                      <a:ext cx="6120000" cy="4508165"/>
                    </a:xfrm>
                    <a:prstGeom prst="rect"/>
                  </pic:spPr>
                </pic:pic>
              </a:graphicData>
            </a:graphic>
          </wp:inline>
        </w:drawing>
      </w:r>
    </w:p>
    <w:p>
      <w:pPr>
        <w:jc w:val="center"/>
      </w:pPr>
      <w:r>
        <w:rPr>
          <w:b w:val="0"/>
          <w:i/>
          <w:sz w:val="18"/>
        </w:rPr>
        <w:t>Figure 46. Transfer cycle for set A (Q6).</w:t>
      </w:r>
    </w:p>
    <w:p>
      <w:pPr>
        <w:jc w:val="center"/>
      </w:pPr>
      <w:r>
        <w:drawing>
          <wp:inline xmlns:a="http://schemas.openxmlformats.org/drawingml/2006/main" xmlns:pic="http://schemas.openxmlformats.org/drawingml/2006/picture">
            <wp:extent cx="6120000" cy="3722474"/>
            <wp:docPr id="47" name="Picture 47"/>
            <wp:cNvGraphicFramePr>
              <a:graphicFrameLocks noChangeAspect="1"/>
            </wp:cNvGraphicFramePr>
            <a:graphic>
              <a:graphicData uri="http://schemas.openxmlformats.org/drawingml/2006/picture">
                <pic:pic>
                  <pic:nvPicPr>
                    <pic:cNvPr id="0" name="network_A.png"/>
                    <pic:cNvPicPr/>
                  </pic:nvPicPr>
                  <pic:blipFill>
                    <a:blip r:embed="rId56"/>
                    <a:stretch>
                      <a:fillRect/>
                    </a:stretch>
                  </pic:blipFill>
                  <pic:spPr>
                    <a:xfrm>
                      <a:off x="0" y="0"/>
                      <a:ext cx="6120000" cy="3722474"/>
                    </a:xfrm>
                    <a:prstGeom prst="rect"/>
                  </pic:spPr>
                </pic:pic>
              </a:graphicData>
            </a:graphic>
          </wp:inline>
        </w:drawing>
      </w:r>
    </w:p>
    <w:p>
      <w:pPr>
        <w:jc w:val="center"/>
      </w:pPr>
      <w:r>
        <w:rPr>
          <w:b w:val="0"/>
          <w:i/>
          <w:sz w:val="18"/>
        </w:rPr>
        <w:t>Figure 47. Ownership and device links around account 998 (Q3/Q4).</w:t>
      </w:r>
    </w:p>
    <w:p>
      <w:r>
        <w:rPr>
          <w:b w:val="0"/>
          <w:i w:val="0"/>
        </w:rPr>
        <w:t>Ordinary explanation: four relatives or friends sharing one phone could be passing a savings-group (ikimina) contribution around, each keeping 2%, or testing a new wallet. Missing evidence: KYC relationships, balances, the device that initiated each payment, other months, and any cash-out at an agent. A documented savings group would lower the priority; a quick cash-out after the cycle would raise it. These records justify enquiries, not a finding of fraud.</w:t>
      </w:r>
    </w:p>
    <w:p>
      <w:pPr>
        <w:pStyle w:val="Heading2"/>
      </w:pPr>
      <w:r>
        <w:t>8.2 Model recommendation</w:t>
      </w:r>
    </w:p>
    <w:p>
      <w:r>
        <w:rPr>
          <w:b w:val="0"/>
          <w:i w:val="0"/>
        </w:rPr>
      </w:r>
      <w:r>
        <w:rPr>
          <w:b/>
          <w:i w:val="0"/>
        </w:rPr>
        <w:t>Reporting → PostgreSQL.</w:t>
      </w:r>
      <w:r>
        <w:rPr>
          <w:b w:val="0"/>
          <w:i w:val="0"/>
        </w:rPr>
        <w:t xml:space="preserve"> Q1 hourly activity took 0.5–1.2 ms in PostgreSQL vs ≈8 ms in Neo4j. Daily totals (Q2) are a natural SQL GROUP BY with time-zone functions. Evidence against: Neo4j scanned the month faster (8.8 s vs 12.5 s), but only after rewriting the Cypher (the literal per-row form took ≈190 s).</w:t>
      </w:r>
    </w:p>
    <w:p>
      <w:r>
        <w:rPr>
          <w:b w:val="0"/>
          <w:i w:val="0"/>
        </w:rPr>
      </w:r>
      <w:r>
        <w:rPr>
          <w:b/>
          <w:i w:val="0"/>
        </w:rPr>
        <w:t>Investigations → Neo4j.</w:t>
      </w:r>
      <w:r>
        <w:rPr>
          <w:b w:val="0"/>
          <w:i w:val="0"/>
        </w:rPr>
        <w:t xml:space="preserve"> Device networks (Q4), cycles (Q6) and shortest routes (Q7) are path problems. Cypher states them as patterns with predicates inside the search; SQL needs long recursive CTEs. Neo4j stayed at 4–14 ms for Q4 depth 10 and Q7 bound 6, where PostgreSQL took 23 ms and 80 ms (after the rewrite) or timed out (before).</w:t>
      </w:r>
    </w:p>
    <w:p>
      <w:r>
        <w:rPr>
          <w:b w:val="0"/>
          <w:i w:val="0"/>
        </w:rPr>
      </w:r>
      <w:r>
        <w:rPr>
          <w:b/>
          <w:i w:val="0"/>
        </w:rPr>
        <w:t>Concurrency.</w:t>
      </w:r>
      <w:r>
        <w:rPr>
          <w:b w:val="0"/>
          <w:i w:val="0"/>
        </w:rPr>
        <w:t xml:space="preserve"> At 8–16 clients on this laptop Neo4j delivered 12–32× the throughput with 13–23× lower p95; both were CPU-bound from 8 clients.</w:t>
      </w:r>
    </w:p>
    <w:p>
      <w:r>
        <w:rPr>
          <w:b w:val="0"/>
          <w:i w:val="0"/>
        </w:rPr>
      </w:r>
      <w:r>
        <w:rPr>
          <w:b/>
          <w:i w:val="0"/>
        </w:rPr>
        <w:t>Load time and storage.</w:t>
      </w:r>
      <w:r>
        <w:rPr>
          <w:b w:val="0"/>
          <w:i w:val="0"/>
        </w:rPr>
        <w:t xml:space="preserve"> PostgreSQL: 34.6 s load + 96.8 s keys/indexes, 3.73 GB. Neo4j: 58.1 s offline import + 31.7 s constraints/index, 2.05 GB store. The covering transfer indexes (≈2 GB) explain most of PostgreSQL's size.</w:t>
      </w:r>
    </w:p>
    <w:p>
      <w:r>
        <w:rPr>
          <w:b w:val="0"/>
          <w:i w:val="0"/>
        </w:rPr>
      </w:r>
      <w:r>
        <w:rPr>
          <w:b/>
          <w:i w:val="0"/>
        </w:rPr>
        <w:t>Plan comparison.</w:t>
      </w:r>
      <w:r>
        <w:rPr>
          <w:b w:val="0"/>
          <w:i w:val="0"/>
        </w:rPr>
        <w:t xml:space="preserve"> For Q7 the recursive CTE re-expanded 14.6 million transfer rows; Neo4j's ShortestPath operator needed 18,794 db hits. The graph model's benefit is stored adjacency and readable path patterns; the rest was algorithm: Neo4j's breadth-first search with early stop versus a CTE without a visited set. Our bidirectional SQL recovered more than 700× without changing the schema.</w:t>
      </w:r>
    </w:p>
    <w:p>
      <w:r>
        <w:rPr>
          <w:b w:val="0"/>
          <w:i w:val="0"/>
        </w:rPr>
      </w:r>
      <w:r>
        <w:rPr>
          <w:b/>
          <w:i w:val="0"/>
        </w:rPr>
        <w:t>Freshness.</w:t>
      </w:r>
      <w:r>
        <w:rPr>
          <w:b w:val="0"/>
          <w:i w:val="0"/>
        </w:rPr>
        <w:t xml:space="preserve"> Keep PostgreSQL as the system of record and copy to Neo4j for investigations, at most 15 minutes behind (change data capture or micro-batches). Stale data would miss a cycle completed in the last minutes or show closed accounts: acceptable for retrospective investigation, not for real-time blocking.</w:t>
      </w:r>
    </w:p>
    <w:p>
      <w:r>
        <w:rPr>
          <w:b w:val="0"/>
          <w:i w:val="0"/>
        </w:rPr>
      </w:r>
      <w:r>
        <w:rPr>
          <w:b/>
          <w:i w:val="0"/>
        </w:rPr>
        <w:t>Limits.</w:t>
      </w:r>
      <w:r>
        <w:rPr>
          <w:b w:val="0"/>
          <w:i w:val="0"/>
        </w:rPr>
        <w:t xml:space="preserve"> (1) One laptop, clients and server sharing 8 threads, warm caches, one month of synthetic data. (2) Six review accounts and no concurrent writes: production load and data growth could change the ranking.</w:t>
      </w:r>
    </w:p>
    <w:p>
      <w:pPr>
        <w:pStyle w:val="Heading2"/>
      </w:pPr>
      <w:r>
        <w:t>8.3 Individual judgement</w:t>
      </w:r>
    </w:p>
    <w:p>
      <w:r>
        <w:rPr>
          <w:b/>
          <w:i w:val="0"/>
        </w:rPr>
        <w:t>BIZIMUNGU Theoneste (101398)</w:t>
      </w:r>
    </w:p>
    <w:p>
      <w:r>
        <w:rPr>
          <w:b w:val="0"/>
          <w:i w:val="0"/>
        </w:rPr>
        <w:t>At first I thought PostgreSQL was bad at path-finding and that the graph database was the clear winner, because our first Q7 SQL query for bound 6 ran for more than 60 seconds and timed out. I now think the query design mattered more than the database. The bidirectional SQL used the same data but answered in about 80 ms, roughly 700 times faster. Neo4j was still faster at about 10 ms, but the gap became milliseconds, not minutes.</w:t>
      </w:r>
    </w:p>
    <w:p>
      <w:r>
        <w:rPr>
          <w:b w:val="0"/>
          <w:i w:val="0"/>
        </w:rPr>
        <w:t>The plan explains why. The plain recursive query revisited the same accounts at every depth and did not stop after reaching the destination, so it read 14.6 million transfer rows. It behaves like a recursive Java method with no visited HashSet and no return when the answer is found. The bidirectional query searches from both accounts and meets in the middle, while Neo4j's shortest-path search never revisits an account and stops at the first hit, using only 18,794 database hits.</w:t>
      </w:r>
    </w:p>
    <w:p>
      <w:r>
        <w:rPr>
          <w:b w:val="0"/>
          <w:i w:val="0"/>
        </w:rPr>
        <w:t>I would test this on a very busy account with thousands of transfers. If bidirectional SQL slowed down badly there while Neo4j stayed fast, I would accept that the graph model has a real advantage on highly connected data.</w:t>
      </w:r>
    </w:p>
    <w:p>
      <w:r>
        <w:rPr>
          <w:b/>
          <w:i w:val="0"/>
        </w:rPr>
        <w:t>NIYITANGA Eric (101393)</w:t>
      </w:r>
    </w:p>
    <w:p>
      <w:r>
        <w:rPr>
          <w:b w:val="0"/>
          <w:i w:val="0"/>
        </w:rPr>
        <w:t>In Q4, sets A, B, D and E grow for a while and then flatten at around 190 to 230 accounts within 10 links, while C and F keep climbing to about 1,430. By 10 steps most of the accounts reached are strangers: account 998 reaches 101752 only through a chain of shared phones. For an investigator, a link within 10 steps does not mean two people are related. Short links can be trusted more; long ones need checking.</w:t>
      </w:r>
    </w:p>
    <w:p>
      <w:r>
        <w:rPr>
          <w:b w:val="0"/>
          <w:i w:val="0"/>
        </w:rPr>
        <w:t>The cause is the device type. Within 4 links, C and F reach a public terminal (devices 220020 and 220170) that many unrelated customers use. Once the search touches it, it jumps to every account that used the terminal, then to their phones, so the number grows fast. It is like a public phone booth: a family phone links a few relatives, but a phone booth links half the town. A, B, D and E only meet household and replacement phones, so their networks stay small.</w:t>
      </w:r>
    </w:p>
    <w:p>
      <w:r>
        <w:rPr>
          <w:b w:val="0"/>
          <w:i w:val="0"/>
        </w:rPr>
        <w:t>To test this, I would remove the public terminals and run Q4 again for C and F. If they still grew much faster than the others, my explanation would be wrong.</w:t>
      </w:r>
    </w:p>
    <w:p>
      <w:r>
        <w:rPr>
          <w:b/>
          <w:i w:val="0"/>
        </w:rPr>
        <w:t>NDASHIMYE Janvier (101363)</w:t>
      </w:r>
    </w:p>
    <w:p>
      <w:r>
        <w:rPr>
          <w:b w:val="0"/>
          <w:i w:val="0"/>
        </w:rPr>
        <w:t>In the load test, going from 1 to 4 clients made throughput grow almost four times. From 4 to 8 it grew a little more, but from 8 to 16 it stopped growing and even dropped slightly, while the p95 waiting time doubled. Throughput is how much work the whole system finishes per second; latency is how long one analyst waits. At 16 clients PostgreSQL still answered about 116 Q4 requests per second, but an unlucky analyst waited almost half a second instead of 0.14 s.</w:t>
      </w:r>
    </w:p>
    <w:p>
      <w:r>
        <w:rPr>
          <w:b w:val="0"/>
          <w:i w:val="0"/>
        </w:rPr>
        <w:t>The laptop has 4 cores and 8 threads, and the database and the client programs share them. At 8 clients average CPU was already about 97%, so 8 more clients added no power; they only joined the queue. It is like a bank with 8 tellers: with 16 customers it serves the same number per hour, but everyone waits longer. Neo4j handled 12 to 30 times more requests than PostgreSQL, but both hit the same CPU wall.</w:t>
      </w:r>
    </w:p>
    <w:p>
      <w:r>
        <w:rPr>
          <w:b w:val="0"/>
          <w:i w:val="0"/>
        </w:rPr>
        <w:t>To test this, I would run the clients on a second computer. If the database CPU then stayed well below 100% but throughput still stopped at 8 clients, my explanation would be wrong.</w:t>
      </w:r>
    </w:p>
    <w:p>
      <w:pPr>
        <w:pStyle w:val="Heading3"/>
      </w:pPr>
      <w:r>
        <w:t>Contributions</w:t>
      </w:r>
    </w:p>
    <w:tbl>
      <w:tblPr>
        <w:tblStyle w:val="LightGrid-Accent1"/>
        <w:tblW w:type="auto" w:w="0"/>
        <w:jc w:val="center"/>
        <w:tblLook w:firstColumn="1" w:firstRow="1" w:lastColumn="0" w:lastRow="0" w:noHBand="0" w:noVBand="1" w:val="04A0"/>
      </w:tblPr>
      <w:tblGrid>
        <w:gridCol w:w="4819"/>
        <w:gridCol w:w="4819"/>
      </w:tblGrid>
      <w:tr>
        <w:tc>
          <w:tcPr>
            <w:tcW w:type="dxa" w:w="2835"/>
          </w:tcPr>
          <w:p>
            <w:r/>
            <w:r>
              <w:rPr>
                <w:b/>
                <w:sz w:val="18"/>
              </w:rPr>
              <w:t>Member</w:t>
            </w:r>
          </w:p>
        </w:tc>
        <w:tc>
          <w:tcPr>
            <w:tcW w:type="dxa" w:w="6803"/>
          </w:tcPr>
          <w:p>
            <w:r/>
            <w:r>
              <w:rPr>
                <w:b/>
                <w:sz w:val="18"/>
              </w:rPr>
              <w:t>Contribution</w:t>
            </w:r>
          </w:p>
        </w:tc>
      </w:tr>
      <w:tr>
        <w:tc>
          <w:tcPr>
            <w:tcW w:type="dxa" w:w="2835"/>
          </w:tcPr>
          <w:p>
            <w:r/>
            <w:r>
              <w:rPr>
                <w:sz w:val="18"/>
              </w:rPr>
              <w:t>BIZIMUNGU Theoneste</w:t>
            </w:r>
          </w:p>
        </w:tc>
        <w:tc>
          <w:tcPr>
            <w:tcW w:type="dxa" w:w="6803"/>
          </w:tcPr>
          <w:p>
            <w:r/>
            <w:r>
              <w:rPr>
                <w:sz w:val="18"/>
              </w:rPr>
              <w:t>Installed both databases, imported the data, executed queries, benchmarks and load tests, compiled the report</w:t>
            </w:r>
          </w:p>
        </w:tc>
      </w:tr>
      <w:tr>
        <w:tc>
          <w:tcPr>
            <w:tcW w:type="dxa" w:w="2835"/>
          </w:tcPr>
          <w:p>
            <w:r/>
            <w:r>
              <w:rPr>
                <w:sz w:val="18"/>
              </w:rPr>
              <w:t>NIYITANGA Eric</w:t>
            </w:r>
          </w:p>
        </w:tc>
        <w:tc>
          <w:tcPr>
            <w:tcW w:type="dxa" w:w="6803"/>
          </w:tcPr>
          <w:p>
            <w:r/>
            <w:r>
              <w:rPr>
                <w:sz w:val="18"/>
              </w:rPr>
              <w:t>Examined Q4 network findings and public-terminal analysis, verified screenshots, authored his 8.3 note</w:t>
            </w:r>
          </w:p>
        </w:tc>
      </w:tr>
      <w:tr>
        <w:tc>
          <w:tcPr>
            <w:tcW w:type="dxa" w:w="2835"/>
          </w:tcPr>
          <w:p>
            <w:r/>
            <w:r>
              <w:rPr>
                <w:sz w:val="18"/>
              </w:rPr>
              <w:t>NDASHIMYE Janvier</w:t>
            </w:r>
          </w:p>
        </w:tc>
        <w:tc>
          <w:tcPr>
            <w:tcW w:type="dxa" w:w="6803"/>
          </w:tcPr>
          <w:p>
            <w:r/>
            <w:r>
              <w:rPr>
                <w:sz w:val="18"/>
              </w:rPr>
              <w:t>Examined load-test results and charts, proofread the report, authored his 8.3 note</w:t>
            </w:r>
          </w:p>
        </w:tc>
      </w:tr>
    </w:tbl>
    <w:p/>
    <w:p>
      <w:pPr>
        <w:pStyle w:val="Heading3"/>
      </w:pPr>
      <w:r>
        <w:t>LLM and external assistance</w:t>
      </w:r>
    </w:p>
    <w:p>
      <w:r>
        <w:rPr>
          <w:b w:val="0"/>
          <w:i w:val="0"/>
        </w:rPr>
        <w:t>Claude (Anthropic, Claude Opus 5.5, via Claude Code) helped write and debug the Python, SQL and Cypher code, the benchmark and load-test programs, the diagrams and this report, and drafted the explanation text. AI tools also helped each member draft and edit their 8.3 note from their own answers to three questions about their finding; each member reviewed their note and checked its numbers. We checked the technical work by: comparing every query pair across both engines (61 cases); recomputing one device overlap and one cycle directly from the CSV files in plain Python; verifying every Q7 path in PostgreSQL; reading the execution plans; and running all scripts ourselves on our own machine.</w:t>
      </w:r>
    </w:p>
    <w:p>
      <w:r>
        <w:br w:type="page"/>
      </w:r>
    </w:p>
    <w:p>
      <w:pPr>
        <w:pStyle w:val="Heading1"/>
      </w:pPr>
      <w:r>
        <w:t>9 Reproducible work</w:t>
      </w:r>
    </w:p>
    <w:p>
      <w:r>
        <w:rPr>
          <w:b w:val="0"/>
          <w:i w:val="0"/>
        </w:rPr>
        <w:t>GitHub: https://github.com/bibabbly/auca-abda-p2-mobile-money (the ZIP matches the final commit). The README lists all commands in execution order; .env.example holds placeholder secrets; captured CSVs and database stores stay local. The generator is unchanged (SHA-256 2ea0e59d2b7b987d84a3d151bd9d1ad7b3052bfbc25abf1466c8e94467e9455a).</w:t>
      </w:r>
    </w:p>
    <w:p>
      <w:pPr>
        <w:jc w:val="center"/>
      </w:pPr>
      <w:r>
        <w:drawing>
          <wp:inline xmlns:a="http://schemas.openxmlformats.org/drawingml/2006/main" xmlns:pic="http://schemas.openxmlformats.org/drawingml/2006/picture">
            <wp:extent cx="6120000" cy="3439708"/>
            <wp:docPr id="48" name="Picture 48"/>
            <wp:cNvGraphicFramePr>
              <a:graphicFrameLocks noChangeAspect="1"/>
            </wp:cNvGraphicFramePr>
            <a:graphic>
              <a:graphicData uri="http://schemas.openxmlformats.org/drawingml/2006/picture">
                <pic:pic>
                  <pic:nvPicPr>
                    <pic:cNvPr id="0" name="9.2_final_compare.png"/>
                    <pic:cNvPicPr/>
                  </pic:nvPicPr>
                  <pic:blipFill>
                    <a:blip r:embed="rId57"/>
                    <a:stretch>
                      <a:fillRect/>
                    </a:stretch>
                  </pic:blipFill>
                  <pic:spPr>
                    <a:xfrm>
                      <a:off x="0" y="0"/>
                      <a:ext cx="6120000" cy="3439708"/>
                    </a:xfrm>
                    <a:prstGeom prst="rect"/>
                  </pic:spPr>
                </pic:pic>
              </a:graphicData>
            </a:graphic>
          </wp:inline>
        </w:drawing>
      </w:r>
    </w:p>
    <w:p>
      <w:pPr>
        <w:jc w:val="center"/>
      </w:pPr>
      <w:r>
        <w:rPr>
          <w:b w:val="0"/>
          <w:i/>
          <w:sz w:val="18"/>
        </w:rPr>
        <w:t>Figure 48. Final rerun of the 61-case comparison.</w:t>
      </w:r>
    </w:p>
    <w:p>
      <w:pPr>
        <w:jc w:val="center"/>
      </w:pPr>
      <w:r>
        <w:drawing>
          <wp:inline xmlns:a="http://schemas.openxmlformats.org/drawingml/2006/main" xmlns:pic="http://schemas.openxmlformats.org/drawingml/2006/picture">
            <wp:extent cx="6120000" cy="3439708"/>
            <wp:docPr id="49" name="Picture 49"/>
            <wp:cNvGraphicFramePr>
              <a:graphicFrameLocks noChangeAspect="1"/>
            </wp:cNvGraphicFramePr>
            <a:graphic>
              <a:graphicData uri="http://schemas.openxmlformats.org/drawingml/2006/picture">
                <pic:pic>
                  <pic:nvPicPr>
                    <pic:cNvPr id="0" name="9.2_services_stopped.png"/>
                    <pic:cNvPicPr/>
                  </pic:nvPicPr>
                  <pic:blipFill>
                    <a:blip r:embed="rId58"/>
                    <a:stretch>
                      <a:fillRect/>
                    </a:stretch>
                  </pic:blipFill>
                  <pic:spPr>
                    <a:xfrm>
                      <a:off x="0" y="0"/>
                      <a:ext cx="6120000" cy="3439708"/>
                    </a:xfrm>
                    <a:prstGeom prst="rect"/>
                  </pic:spPr>
                </pic:pic>
              </a:graphicData>
            </a:graphic>
          </wp:inline>
        </w:drawing>
      </w:r>
    </w:p>
    <w:p>
      <w:pPr>
        <w:jc w:val="center"/>
      </w:pPr>
      <w:r>
        <w:rPr>
          <w:b w:val="0"/>
          <w:i/>
          <w:sz w:val="18"/>
        </w:rPr>
        <w:t>Figure 49. PostgreSQL and Neo4j services stopped; stores retained.</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AUCA Advanced Big Data Analytics, Project 2: Mobile Money Investigations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