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Кустовой Ольге Михайловне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 (кад. №59:01:1715086:170)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012841187227090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151-05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Кустовой Ольге Михайловне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89226471285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Кустова О.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