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25-35/2022-АТП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Шиловой Марине Вениаминовне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25-35/2022-ТУ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47 (кад. №59:01:1715086:159)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Шиловой Марине Вениаминовне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89127883853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Шилова М.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